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EEECE1" w:themeFill="background2"/>
        <w:tblLook w:val="04A0" w:firstRow="1" w:lastRow="0" w:firstColumn="1" w:lastColumn="0" w:noHBand="0" w:noVBand="1"/>
      </w:tblPr>
      <w:tblGrid>
        <w:gridCol w:w="9300"/>
      </w:tblGrid>
      <w:tr w:rsidR="000352C4" w:rsidTr="00D402D6">
        <w:tc>
          <w:tcPr>
            <w:tcW w:w="9576" w:type="dxa"/>
            <w:shd w:val="clear" w:color="auto" w:fill="EEECE1" w:themeFill="background2"/>
          </w:tcPr>
          <w:p w:rsidR="000352C4" w:rsidRPr="000352C4" w:rsidRDefault="000352C4" w:rsidP="000352C4">
            <w:pPr>
              <w:jc w:val="center"/>
              <w:rPr>
                <w:b/>
                <w:sz w:val="28"/>
                <w:szCs w:val="28"/>
              </w:rPr>
            </w:pPr>
            <w:bookmarkStart w:id="0" w:name="_GoBack"/>
            <w:bookmarkEnd w:id="0"/>
            <w:r w:rsidRPr="000352C4">
              <w:rPr>
                <w:b/>
                <w:sz w:val="28"/>
                <w:szCs w:val="28"/>
              </w:rPr>
              <w:t>Consultation</w:t>
            </w:r>
            <w:r w:rsidR="0007301E">
              <w:rPr>
                <w:b/>
                <w:sz w:val="28"/>
                <w:szCs w:val="28"/>
              </w:rPr>
              <w:t xml:space="preserve"> on</w:t>
            </w:r>
            <w:r w:rsidRPr="000352C4">
              <w:rPr>
                <w:b/>
                <w:sz w:val="28"/>
                <w:szCs w:val="28"/>
              </w:rPr>
              <w:t xml:space="preserve"> Medical Device Investigational Testing Authorizations (ITAs)</w:t>
            </w:r>
          </w:p>
          <w:p w:rsidR="000352C4" w:rsidRPr="00EA4390" w:rsidRDefault="000352C4" w:rsidP="000352C4">
            <w:pPr>
              <w:rPr>
                <w:b/>
                <w:sz w:val="24"/>
                <w:szCs w:val="24"/>
              </w:rPr>
            </w:pPr>
          </w:p>
          <w:p w:rsidR="000352C4" w:rsidRDefault="000352C4" w:rsidP="00D402D6">
            <w:pPr>
              <w:rPr>
                <w:sz w:val="24"/>
                <w:szCs w:val="24"/>
              </w:rPr>
            </w:pPr>
            <w:r w:rsidRPr="00EA4390">
              <w:rPr>
                <w:sz w:val="24"/>
                <w:szCs w:val="24"/>
              </w:rPr>
              <w:t xml:space="preserve">Health Canada is exploring how </w:t>
            </w:r>
            <w:r w:rsidR="00D402D6">
              <w:rPr>
                <w:sz w:val="24"/>
                <w:szCs w:val="24"/>
              </w:rPr>
              <w:t xml:space="preserve">best </w:t>
            </w:r>
            <w:r w:rsidRPr="00EA4390">
              <w:rPr>
                <w:sz w:val="24"/>
                <w:szCs w:val="24"/>
              </w:rPr>
              <w:t>to address longstanding stakeholder concerns regarding the current regulatory framework</w:t>
            </w:r>
            <w:r w:rsidR="00185E76">
              <w:rPr>
                <w:sz w:val="24"/>
                <w:szCs w:val="24"/>
              </w:rPr>
              <w:t xml:space="preserve"> for medical devices</w:t>
            </w:r>
            <w:r w:rsidRPr="00EA4390">
              <w:rPr>
                <w:sz w:val="24"/>
                <w:szCs w:val="24"/>
              </w:rPr>
              <w:t xml:space="preserve"> </w:t>
            </w:r>
            <w:r w:rsidR="00090CE1">
              <w:rPr>
                <w:sz w:val="24"/>
                <w:szCs w:val="24"/>
              </w:rPr>
              <w:t xml:space="preserve">and how it </w:t>
            </w:r>
            <w:r w:rsidRPr="00EA4390">
              <w:rPr>
                <w:sz w:val="24"/>
                <w:szCs w:val="24"/>
              </w:rPr>
              <w:t>may be unintentionally limiting investigational testing activity in Canada.</w:t>
            </w:r>
          </w:p>
          <w:p w:rsidR="00D402D6" w:rsidRDefault="00D402D6" w:rsidP="00D402D6">
            <w:pPr>
              <w:rPr>
                <w:sz w:val="24"/>
                <w:szCs w:val="24"/>
              </w:rPr>
            </w:pPr>
          </w:p>
        </w:tc>
      </w:tr>
    </w:tbl>
    <w:p w:rsidR="000352C4" w:rsidRPr="00EA4390" w:rsidRDefault="000352C4" w:rsidP="00EA4390">
      <w:pPr>
        <w:rPr>
          <w:sz w:val="24"/>
          <w:szCs w:val="24"/>
        </w:rPr>
      </w:pPr>
    </w:p>
    <w:p w:rsidR="00EA4390" w:rsidRDefault="0007301E" w:rsidP="00EA4390">
      <w:pPr>
        <w:rPr>
          <w:b/>
          <w:sz w:val="24"/>
          <w:szCs w:val="24"/>
        </w:rPr>
      </w:pPr>
      <w:r>
        <w:rPr>
          <w:b/>
          <w:sz w:val="24"/>
          <w:szCs w:val="24"/>
        </w:rPr>
        <w:t>PURPOSE</w:t>
      </w:r>
    </w:p>
    <w:p w:rsidR="005B266B" w:rsidRDefault="00BC5772" w:rsidP="00EA4390">
      <w:pPr>
        <w:rPr>
          <w:sz w:val="24"/>
          <w:szCs w:val="24"/>
        </w:rPr>
      </w:pPr>
      <w:r w:rsidRPr="00BC5772">
        <w:rPr>
          <w:sz w:val="24"/>
          <w:szCs w:val="24"/>
        </w:rPr>
        <w:t xml:space="preserve">Canada has become a country of choice for developing and testing innovative health products. However, in order to remain competitive in the clinical trial landscape and continue to be responsive to the health needs of patients and interests of </w:t>
      </w:r>
      <w:r w:rsidR="001502C5">
        <w:rPr>
          <w:sz w:val="24"/>
          <w:szCs w:val="24"/>
        </w:rPr>
        <w:t>investigator</w:t>
      </w:r>
      <w:r w:rsidRPr="00BC5772">
        <w:rPr>
          <w:sz w:val="24"/>
          <w:szCs w:val="24"/>
        </w:rPr>
        <w:t xml:space="preserve">s, </w:t>
      </w:r>
      <w:r w:rsidR="001502C5" w:rsidRPr="001502C5">
        <w:rPr>
          <w:sz w:val="24"/>
          <w:szCs w:val="24"/>
        </w:rPr>
        <w:t xml:space="preserve">Health Canada </w:t>
      </w:r>
      <w:r w:rsidR="001502C5">
        <w:rPr>
          <w:sz w:val="24"/>
          <w:szCs w:val="24"/>
        </w:rPr>
        <w:t xml:space="preserve">is </w:t>
      </w:r>
      <w:r w:rsidR="001502C5" w:rsidRPr="001502C5">
        <w:rPr>
          <w:sz w:val="24"/>
          <w:szCs w:val="24"/>
        </w:rPr>
        <w:t xml:space="preserve">studying how to address </w:t>
      </w:r>
      <w:r w:rsidR="001502C5">
        <w:rPr>
          <w:sz w:val="24"/>
          <w:szCs w:val="24"/>
        </w:rPr>
        <w:t xml:space="preserve">longstanding </w:t>
      </w:r>
      <w:r w:rsidR="001502C5" w:rsidRPr="001502C5">
        <w:rPr>
          <w:sz w:val="24"/>
          <w:szCs w:val="24"/>
        </w:rPr>
        <w:t>concerns and increase research</w:t>
      </w:r>
      <w:r w:rsidR="001502C5">
        <w:rPr>
          <w:sz w:val="24"/>
          <w:szCs w:val="24"/>
        </w:rPr>
        <w:t>,</w:t>
      </w:r>
      <w:r w:rsidR="001502C5" w:rsidRPr="001502C5">
        <w:rPr>
          <w:sz w:val="24"/>
          <w:szCs w:val="24"/>
        </w:rPr>
        <w:t xml:space="preserve"> while </w:t>
      </w:r>
      <w:r w:rsidR="001502C5">
        <w:rPr>
          <w:sz w:val="24"/>
          <w:szCs w:val="24"/>
        </w:rPr>
        <w:t>protecting patient safety. This issue was prioritized</w:t>
      </w:r>
      <w:r w:rsidR="005B266B">
        <w:rPr>
          <w:sz w:val="24"/>
          <w:szCs w:val="24"/>
        </w:rPr>
        <w:t xml:space="preserve"> in Health Canada’s Action Plan on Medical Devices, which was published in </w:t>
      </w:r>
      <w:r w:rsidR="001502C5">
        <w:rPr>
          <w:sz w:val="24"/>
          <w:szCs w:val="24"/>
        </w:rPr>
        <w:t>December 2018</w:t>
      </w:r>
      <w:r w:rsidR="005B266B">
        <w:rPr>
          <w:sz w:val="24"/>
          <w:szCs w:val="24"/>
        </w:rPr>
        <w:t>.</w:t>
      </w:r>
      <w:r w:rsidR="001502C5">
        <w:rPr>
          <w:sz w:val="24"/>
          <w:szCs w:val="24"/>
        </w:rPr>
        <w:t xml:space="preserve"> </w:t>
      </w:r>
      <w:r w:rsidR="005B6404">
        <w:rPr>
          <w:sz w:val="24"/>
          <w:szCs w:val="24"/>
        </w:rPr>
        <w:t>T</w:t>
      </w:r>
      <w:r w:rsidR="005B266B">
        <w:rPr>
          <w:sz w:val="24"/>
          <w:szCs w:val="24"/>
        </w:rPr>
        <w:t xml:space="preserve">he Action Plan </w:t>
      </w:r>
      <w:r w:rsidR="005B6404">
        <w:rPr>
          <w:sz w:val="24"/>
          <w:szCs w:val="24"/>
        </w:rPr>
        <w:t xml:space="preserve">identified the need to </w:t>
      </w:r>
      <w:r w:rsidR="005B266B">
        <w:rPr>
          <w:sz w:val="24"/>
          <w:szCs w:val="24"/>
        </w:rPr>
        <w:t>better align the regulatory frameworks for device investigational testing (IT) and drug clinical trials</w:t>
      </w:r>
      <w:r w:rsidR="005B6404">
        <w:rPr>
          <w:sz w:val="24"/>
          <w:szCs w:val="24"/>
        </w:rPr>
        <w:t>, and to adopt international best practices, where appropriate.</w:t>
      </w:r>
    </w:p>
    <w:p w:rsidR="005B6404" w:rsidRPr="006D0608" w:rsidRDefault="005B10A7" w:rsidP="005B10A7">
      <w:pPr>
        <w:rPr>
          <w:sz w:val="24"/>
          <w:szCs w:val="24"/>
        </w:rPr>
      </w:pPr>
      <w:r w:rsidRPr="006D0608">
        <w:rPr>
          <w:sz w:val="24"/>
          <w:szCs w:val="24"/>
        </w:rPr>
        <w:t>To advance the</w:t>
      </w:r>
      <w:r w:rsidR="00956630" w:rsidRPr="006D0608">
        <w:rPr>
          <w:sz w:val="24"/>
          <w:szCs w:val="24"/>
        </w:rPr>
        <w:t xml:space="preserve">se objectives, </w:t>
      </w:r>
      <w:r w:rsidRPr="006D0608">
        <w:rPr>
          <w:sz w:val="24"/>
          <w:szCs w:val="24"/>
        </w:rPr>
        <w:t xml:space="preserve">Health Canada is </w:t>
      </w:r>
      <w:r w:rsidR="0007301E">
        <w:rPr>
          <w:sz w:val="24"/>
          <w:szCs w:val="24"/>
        </w:rPr>
        <w:t xml:space="preserve">now seeking feedback </w:t>
      </w:r>
      <w:r w:rsidRPr="006D0608">
        <w:rPr>
          <w:sz w:val="24"/>
          <w:szCs w:val="24"/>
        </w:rPr>
        <w:t xml:space="preserve">from stakeholders </w:t>
      </w:r>
      <w:r w:rsidR="0007301E">
        <w:rPr>
          <w:sz w:val="24"/>
          <w:szCs w:val="24"/>
        </w:rPr>
        <w:t xml:space="preserve">on </w:t>
      </w:r>
      <w:r w:rsidRPr="006D0608">
        <w:rPr>
          <w:sz w:val="24"/>
          <w:szCs w:val="24"/>
        </w:rPr>
        <w:t xml:space="preserve">five </w:t>
      </w:r>
      <w:r w:rsidR="0007301E">
        <w:rPr>
          <w:sz w:val="24"/>
          <w:szCs w:val="24"/>
        </w:rPr>
        <w:t xml:space="preserve">key </w:t>
      </w:r>
      <w:r w:rsidR="006D0608">
        <w:rPr>
          <w:sz w:val="24"/>
          <w:szCs w:val="24"/>
        </w:rPr>
        <w:t>issues</w:t>
      </w:r>
      <w:r w:rsidR="0007301E">
        <w:rPr>
          <w:sz w:val="24"/>
          <w:szCs w:val="24"/>
        </w:rPr>
        <w:t xml:space="preserve"> </w:t>
      </w:r>
      <w:r w:rsidR="0007301E" w:rsidRPr="006D0608">
        <w:rPr>
          <w:sz w:val="24"/>
          <w:szCs w:val="24"/>
        </w:rPr>
        <w:t>regard</w:t>
      </w:r>
      <w:r w:rsidR="0007301E">
        <w:rPr>
          <w:sz w:val="24"/>
          <w:szCs w:val="24"/>
        </w:rPr>
        <w:t xml:space="preserve">ing </w:t>
      </w:r>
      <w:r w:rsidR="0007301E" w:rsidRPr="006D0608">
        <w:rPr>
          <w:sz w:val="24"/>
          <w:szCs w:val="24"/>
        </w:rPr>
        <w:t>the application requirements and processes for medical devices used in investigational testing</w:t>
      </w:r>
      <w:r w:rsidR="005B6404" w:rsidRPr="006D0608">
        <w:rPr>
          <w:sz w:val="24"/>
          <w:szCs w:val="24"/>
        </w:rPr>
        <w:t>.</w:t>
      </w:r>
    </w:p>
    <w:p w:rsidR="00C31780" w:rsidRPr="006D0608" w:rsidRDefault="00C31780" w:rsidP="00EA4390">
      <w:pPr>
        <w:rPr>
          <w:b/>
          <w:sz w:val="24"/>
          <w:szCs w:val="24"/>
        </w:rPr>
      </w:pPr>
      <w:r w:rsidRPr="006D0608">
        <w:rPr>
          <w:b/>
          <w:sz w:val="24"/>
          <w:szCs w:val="24"/>
        </w:rPr>
        <w:t>BACKGROUND</w:t>
      </w:r>
    </w:p>
    <w:p w:rsidR="001B19E2" w:rsidRPr="006D0608" w:rsidRDefault="0007301E" w:rsidP="00EA4390">
      <w:pPr>
        <w:rPr>
          <w:b/>
          <w:sz w:val="24"/>
          <w:szCs w:val="24"/>
        </w:rPr>
      </w:pPr>
      <w:r>
        <w:rPr>
          <w:b/>
          <w:sz w:val="24"/>
          <w:szCs w:val="24"/>
        </w:rPr>
        <w:t xml:space="preserve">Investigational Testing </w:t>
      </w:r>
      <w:r w:rsidR="00C31780" w:rsidRPr="006D0608">
        <w:rPr>
          <w:b/>
          <w:sz w:val="24"/>
          <w:szCs w:val="24"/>
        </w:rPr>
        <w:t>Regulatory Framework</w:t>
      </w:r>
    </w:p>
    <w:p w:rsidR="004C7A49" w:rsidRPr="006D0608" w:rsidRDefault="009B3057" w:rsidP="001B19E2">
      <w:pPr>
        <w:spacing w:after="0"/>
        <w:rPr>
          <w:sz w:val="24"/>
          <w:szCs w:val="24"/>
        </w:rPr>
      </w:pPr>
      <w:r w:rsidRPr="006D0608">
        <w:rPr>
          <w:sz w:val="24"/>
          <w:szCs w:val="24"/>
        </w:rPr>
        <w:t>Investigational testing</w:t>
      </w:r>
      <w:r w:rsidR="00F62798" w:rsidRPr="006D0608">
        <w:rPr>
          <w:sz w:val="24"/>
          <w:szCs w:val="24"/>
        </w:rPr>
        <w:t xml:space="preserve"> </w:t>
      </w:r>
      <w:r w:rsidR="00583EA1" w:rsidRPr="006D0608">
        <w:rPr>
          <w:sz w:val="24"/>
          <w:szCs w:val="24"/>
        </w:rPr>
        <w:t xml:space="preserve">refers to the clinical study of a medical device, intended to demonstrate </w:t>
      </w:r>
      <w:r w:rsidRPr="006D0608">
        <w:rPr>
          <w:sz w:val="24"/>
          <w:szCs w:val="24"/>
        </w:rPr>
        <w:t>clinical safety and/or effectiveness</w:t>
      </w:r>
      <w:r w:rsidR="001B19E2" w:rsidRPr="006D0608">
        <w:rPr>
          <w:sz w:val="24"/>
          <w:szCs w:val="24"/>
        </w:rPr>
        <w:t xml:space="preserve">. </w:t>
      </w:r>
      <w:r w:rsidR="00583EA1" w:rsidRPr="006D0608">
        <w:rPr>
          <w:sz w:val="24"/>
          <w:szCs w:val="24"/>
        </w:rPr>
        <w:t xml:space="preserve">Studies could also involve </w:t>
      </w:r>
      <w:r w:rsidR="001B19E2" w:rsidRPr="006D0608">
        <w:rPr>
          <w:sz w:val="24"/>
          <w:szCs w:val="24"/>
        </w:rPr>
        <w:t>medical devices already on the market that are being evaluated for new intended uses, new populations, new materials or design changes.</w:t>
      </w:r>
      <w:r w:rsidR="00B22E17" w:rsidRPr="006D0608">
        <w:rPr>
          <w:sz w:val="24"/>
          <w:szCs w:val="24"/>
        </w:rPr>
        <w:t xml:space="preserve"> </w:t>
      </w:r>
      <w:r w:rsidR="004C7A49" w:rsidRPr="006D0608">
        <w:rPr>
          <w:sz w:val="24"/>
          <w:szCs w:val="24"/>
        </w:rPr>
        <w:t xml:space="preserve">In Canada, about </w:t>
      </w:r>
      <w:r w:rsidR="00307980" w:rsidRPr="006D0608">
        <w:rPr>
          <w:sz w:val="24"/>
          <w:szCs w:val="24"/>
        </w:rPr>
        <w:t xml:space="preserve">400 </w:t>
      </w:r>
      <w:r w:rsidR="0007301E">
        <w:rPr>
          <w:sz w:val="24"/>
          <w:szCs w:val="24"/>
        </w:rPr>
        <w:t>investigational testing authorizations (</w:t>
      </w:r>
      <w:r w:rsidR="00307980" w:rsidRPr="006D0608">
        <w:rPr>
          <w:sz w:val="24"/>
          <w:szCs w:val="24"/>
        </w:rPr>
        <w:t>ITAs</w:t>
      </w:r>
      <w:r w:rsidR="0007301E">
        <w:rPr>
          <w:sz w:val="24"/>
          <w:szCs w:val="24"/>
        </w:rPr>
        <w:t>)</w:t>
      </w:r>
      <w:r w:rsidR="00307980" w:rsidRPr="006D0608">
        <w:rPr>
          <w:sz w:val="24"/>
          <w:szCs w:val="24"/>
        </w:rPr>
        <w:t xml:space="preserve"> are issued annually. </w:t>
      </w:r>
    </w:p>
    <w:p w:rsidR="00873B0A" w:rsidRPr="001B19E2" w:rsidRDefault="00873B0A" w:rsidP="001B19E2">
      <w:pPr>
        <w:spacing w:after="0"/>
        <w:rPr>
          <w:sz w:val="24"/>
          <w:szCs w:val="24"/>
        </w:rPr>
      </w:pPr>
    </w:p>
    <w:p w:rsidR="00CB6FB3" w:rsidRDefault="00186877" w:rsidP="00186877">
      <w:pPr>
        <w:spacing w:after="0"/>
        <w:rPr>
          <w:sz w:val="24"/>
          <w:szCs w:val="24"/>
        </w:rPr>
      </w:pPr>
      <w:r w:rsidRPr="00186877">
        <w:rPr>
          <w:sz w:val="24"/>
          <w:szCs w:val="24"/>
        </w:rPr>
        <w:t>Manufacturers and importers</w:t>
      </w:r>
      <w:r>
        <w:rPr>
          <w:sz w:val="24"/>
          <w:szCs w:val="24"/>
        </w:rPr>
        <w:t xml:space="preserve"> </w:t>
      </w:r>
      <w:r w:rsidRPr="00186877">
        <w:rPr>
          <w:sz w:val="24"/>
          <w:szCs w:val="24"/>
        </w:rPr>
        <w:t>must meet the regulatory requirements</w:t>
      </w:r>
      <w:r>
        <w:rPr>
          <w:sz w:val="24"/>
          <w:szCs w:val="24"/>
        </w:rPr>
        <w:t xml:space="preserve"> under Part 3 of the </w:t>
      </w:r>
      <w:r w:rsidRPr="00F46A8E">
        <w:rPr>
          <w:i/>
          <w:sz w:val="24"/>
          <w:szCs w:val="24"/>
        </w:rPr>
        <w:t>Medical Devices Regulations</w:t>
      </w:r>
      <w:r w:rsidRPr="00186877">
        <w:rPr>
          <w:sz w:val="24"/>
          <w:szCs w:val="24"/>
        </w:rPr>
        <w:t xml:space="preserve"> </w:t>
      </w:r>
      <w:r w:rsidR="009077D6">
        <w:rPr>
          <w:sz w:val="24"/>
          <w:szCs w:val="24"/>
        </w:rPr>
        <w:t xml:space="preserve">(MDR) </w:t>
      </w:r>
      <w:r w:rsidRPr="00186877">
        <w:rPr>
          <w:sz w:val="24"/>
          <w:szCs w:val="24"/>
        </w:rPr>
        <w:t>in order to receive</w:t>
      </w:r>
      <w:r>
        <w:rPr>
          <w:sz w:val="24"/>
          <w:szCs w:val="24"/>
        </w:rPr>
        <w:t xml:space="preserve"> an </w:t>
      </w:r>
      <w:r w:rsidR="003F19DD">
        <w:rPr>
          <w:sz w:val="24"/>
          <w:szCs w:val="24"/>
        </w:rPr>
        <w:t xml:space="preserve">ITA </w:t>
      </w:r>
      <w:r w:rsidRPr="00186877">
        <w:rPr>
          <w:sz w:val="24"/>
          <w:szCs w:val="24"/>
        </w:rPr>
        <w:t>from Health Canada to sell a</w:t>
      </w:r>
      <w:r>
        <w:rPr>
          <w:sz w:val="24"/>
          <w:szCs w:val="24"/>
        </w:rPr>
        <w:t xml:space="preserve"> </w:t>
      </w:r>
      <w:r w:rsidR="00D619AA">
        <w:rPr>
          <w:sz w:val="24"/>
          <w:szCs w:val="24"/>
        </w:rPr>
        <w:t xml:space="preserve">Class II, III or IV </w:t>
      </w:r>
      <w:r w:rsidRPr="00186877">
        <w:rPr>
          <w:sz w:val="24"/>
          <w:szCs w:val="24"/>
        </w:rPr>
        <w:t>device to a qualified investigator for the purpose of</w:t>
      </w:r>
      <w:r>
        <w:rPr>
          <w:sz w:val="24"/>
          <w:szCs w:val="24"/>
        </w:rPr>
        <w:t xml:space="preserve"> </w:t>
      </w:r>
      <w:r w:rsidRPr="00186877">
        <w:rPr>
          <w:sz w:val="24"/>
          <w:szCs w:val="24"/>
        </w:rPr>
        <w:t>condu</w:t>
      </w:r>
      <w:r>
        <w:rPr>
          <w:sz w:val="24"/>
          <w:szCs w:val="24"/>
        </w:rPr>
        <w:t>cting investigational testing.</w:t>
      </w:r>
      <w:r w:rsidR="00D619AA">
        <w:rPr>
          <w:sz w:val="24"/>
          <w:szCs w:val="24"/>
        </w:rPr>
        <w:t xml:space="preserve"> </w:t>
      </w:r>
      <w:r w:rsidR="00D619AA" w:rsidRPr="00D619AA">
        <w:rPr>
          <w:sz w:val="24"/>
          <w:szCs w:val="24"/>
        </w:rPr>
        <w:t>There is no requirement to obtain an ITA for a Class I medical device</w:t>
      </w:r>
      <w:r w:rsidR="0007301E">
        <w:rPr>
          <w:sz w:val="24"/>
          <w:szCs w:val="24"/>
        </w:rPr>
        <w:t>;</w:t>
      </w:r>
      <w:r w:rsidR="009B3057">
        <w:rPr>
          <w:sz w:val="24"/>
          <w:szCs w:val="24"/>
        </w:rPr>
        <w:t xml:space="preserve"> however</w:t>
      </w:r>
      <w:r w:rsidR="000A645C">
        <w:rPr>
          <w:sz w:val="24"/>
          <w:szCs w:val="24"/>
        </w:rPr>
        <w:t>,</w:t>
      </w:r>
      <w:r w:rsidR="009B3057">
        <w:rPr>
          <w:sz w:val="24"/>
          <w:szCs w:val="24"/>
        </w:rPr>
        <w:t xml:space="preserve"> </w:t>
      </w:r>
      <w:r w:rsidR="00583EA1">
        <w:rPr>
          <w:sz w:val="24"/>
          <w:szCs w:val="24"/>
        </w:rPr>
        <w:t>some requirements still apply</w:t>
      </w:r>
      <w:r w:rsidR="009B3057">
        <w:rPr>
          <w:sz w:val="24"/>
          <w:szCs w:val="24"/>
        </w:rPr>
        <w:t>, as outlined below</w:t>
      </w:r>
      <w:r w:rsidR="00D619AA" w:rsidRPr="00D619AA">
        <w:rPr>
          <w:sz w:val="24"/>
          <w:szCs w:val="24"/>
        </w:rPr>
        <w:t>.</w:t>
      </w:r>
    </w:p>
    <w:p w:rsidR="005551DB" w:rsidRDefault="005551DB" w:rsidP="00186877">
      <w:pPr>
        <w:spacing w:after="0"/>
        <w:rPr>
          <w:sz w:val="24"/>
          <w:szCs w:val="24"/>
        </w:rPr>
      </w:pPr>
    </w:p>
    <w:p w:rsidR="009077D6" w:rsidRDefault="009077D6">
      <w:pPr>
        <w:rPr>
          <w:sz w:val="24"/>
          <w:szCs w:val="24"/>
        </w:rPr>
      </w:pPr>
      <w:r>
        <w:rPr>
          <w:sz w:val="24"/>
          <w:szCs w:val="24"/>
        </w:rPr>
        <w:br w:type="page"/>
      </w:r>
    </w:p>
    <w:tbl>
      <w:tblPr>
        <w:tblStyle w:val="TableGrid"/>
        <w:tblW w:w="0" w:type="auto"/>
        <w:tblLook w:val="04A0" w:firstRow="1" w:lastRow="0" w:firstColumn="1" w:lastColumn="0" w:noHBand="0" w:noVBand="1"/>
      </w:tblPr>
      <w:tblGrid>
        <w:gridCol w:w="4675"/>
        <w:gridCol w:w="4675"/>
      </w:tblGrid>
      <w:tr w:rsidR="00CB6FB3" w:rsidTr="00CB6FB3">
        <w:tc>
          <w:tcPr>
            <w:tcW w:w="9576" w:type="dxa"/>
            <w:gridSpan w:val="2"/>
            <w:shd w:val="clear" w:color="auto" w:fill="EEECE1" w:themeFill="background2"/>
          </w:tcPr>
          <w:p w:rsidR="00CB6FB3" w:rsidRPr="00CB6FB3" w:rsidRDefault="00CB6FB3" w:rsidP="00327A9F">
            <w:pPr>
              <w:jc w:val="center"/>
              <w:rPr>
                <w:b/>
                <w:sz w:val="24"/>
                <w:szCs w:val="24"/>
              </w:rPr>
            </w:pPr>
            <w:r w:rsidRPr="00CB6FB3">
              <w:rPr>
                <w:b/>
                <w:sz w:val="24"/>
                <w:szCs w:val="24"/>
              </w:rPr>
              <w:lastRenderedPageBreak/>
              <w:t>Requirements under Part 3</w:t>
            </w:r>
            <w:r w:rsidR="00AF626A">
              <w:rPr>
                <w:b/>
                <w:sz w:val="24"/>
                <w:szCs w:val="24"/>
              </w:rPr>
              <w:t xml:space="preserve"> of the M</w:t>
            </w:r>
            <w:r w:rsidR="00327A9F">
              <w:rPr>
                <w:b/>
                <w:sz w:val="24"/>
                <w:szCs w:val="24"/>
              </w:rPr>
              <w:t>DR</w:t>
            </w:r>
          </w:p>
        </w:tc>
      </w:tr>
      <w:tr w:rsidR="00CB6FB3" w:rsidTr="00CB6FB3">
        <w:tc>
          <w:tcPr>
            <w:tcW w:w="4788" w:type="dxa"/>
            <w:shd w:val="clear" w:color="auto" w:fill="EEECE1" w:themeFill="background2"/>
          </w:tcPr>
          <w:p w:rsidR="00CB6FB3" w:rsidRPr="00CB6FB3" w:rsidRDefault="00CB6FB3" w:rsidP="00CB6FB3">
            <w:pPr>
              <w:jc w:val="center"/>
              <w:rPr>
                <w:b/>
                <w:sz w:val="24"/>
                <w:szCs w:val="24"/>
              </w:rPr>
            </w:pPr>
            <w:r w:rsidRPr="00CB6FB3">
              <w:rPr>
                <w:b/>
                <w:sz w:val="24"/>
                <w:szCs w:val="24"/>
              </w:rPr>
              <w:t>Class I Medical Devices</w:t>
            </w:r>
          </w:p>
        </w:tc>
        <w:tc>
          <w:tcPr>
            <w:tcW w:w="4788" w:type="dxa"/>
            <w:shd w:val="clear" w:color="auto" w:fill="EEECE1" w:themeFill="background2"/>
          </w:tcPr>
          <w:p w:rsidR="00CB6FB3" w:rsidRPr="00CB6FB3" w:rsidRDefault="00CB6FB3" w:rsidP="00CB6FB3">
            <w:pPr>
              <w:jc w:val="center"/>
              <w:rPr>
                <w:b/>
                <w:sz w:val="24"/>
                <w:szCs w:val="24"/>
              </w:rPr>
            </w:pPr>
            <w:r w:rsidRPr="00CB6FB3">
              <w:rPr>
                <w:b/>
                <w:sz w:val="24"/>
                <w:szCs w:val="24"/>
              </w:rPr>
              <w:t>Class II, III and IV Medical Devices</w:t>
            </w:r>
          </w:p>
        </w:tc>
      </w:tr>
      <w:tr w:rsidR="00CB6FB3" w:rsidTr="00AF626A">
        <w:trPr>
          <w:trHeight w:val="3379"/>
        </w:trPr>
        <w:tc>
          <w:tcPr>
            <w:tcW w:w="4788" w:type="dxa"/>
          </w:tcPr>
          <w:p w:rsidR="00CB6FB3" w:rsidRDefault="00CB6FB3" w:rsidP="00CB6FB3">
            <w:pPr>
              <w:pStyle w:val="ListParagraph"/>
              <w:numPr>
                <w:ilvl w:val="0"/>
                <w:numId w:val="1"/>
              </w:numPr>
              <w:rPr>
                <w:sz w:val="24"/>
                <w:szCs w:val="24"/>
              </w:rPr>
            </w:pPr>
            <w:r>
              <w:rPr>
                <w:sz w:val="24"/>
                <w:szCs w:val="24"/>
              </w:rPr>
              <w:t>Records and documentation requirements</w:t>
            </w:r>
            <w:r w:rsidR="003F19DD">
              <w:rPr>
                <w:sz w:val="24"/>
                <w:szCs w:val="24"/>
              </w:rPr>
              <w:t xml:space="preserve"> under section 81 of MDR</w:t>
            </w:r>
          </w:p>
          <w:p w:rsidR="00AF626A" w:rsidRDefault="00AF626A" w:rsidP="00AF626A">
            <w:pPr>
              <w:pStyle w:val="ListParagraph"/>
              <w:numPr>
                <w:ilvl w:val="0"/>
                <w:numId w:val="1"/>
              </w:numPr>
              <w:rPr>
                <w:sz w:val="24"/>
                <w:szCs w:val="24"/>
              </w:rPr>
            </w:pPr>
            <w:r>
              <w:rPr>
                <w:sz w:val="24"/>
                <w:szCs w:val="24"/>
              </w:rPr>
              <w:t>Labelling of investigational medical device</w:t>
            </w:r>
          </w:p>
          <w:p w:rsidR="00AF626A" w:rsidRDefault="00AF626A" w:rsidP="00AF626A">
            <w:pPr>
              <w:pStyle w:val="ListParagraph"/>
              <w:numPr>
                <w:ilvl w:val="0"/>
                <w:numId w:val="1"/>
              </w:numPr>
              <w:rPr>
                <w:sz w:val="24"/>
                <w:szCs w:val="24"/>
              </w:rPr>
            </w:pPr>
            <w:r>
              <w:rPr>
                <w:sz w:val="24"/>
                <w:szCs w:val="24"/>
              </w:rPr>
              <w:t>Advertising of investigational medical device</w:t>
            </w:r>
          </w:p>
          <w:p w:rsidR="00CB6FB3" w:rsidRPr="00AF626A" w:rsidRDefault="00CB6FB3" w:rsidP="00CB6FB3">
            <w:pPr>
              <w:pStyle w:val="ListParagraph"/>
              <w:numPr>
                <w:ilvl w:val="0"/>
                <w:numId w:val="1"/>
              </w:numPr>
              <w:rPr>
                <w:sz w:val="24"/>
                <w:szCs w:val="24"/>
              </w:rPr>
            </w:pPr>
            <w:r w:rsidRPr="00AF626A">
              <w:rPr>
                <w:sz w:val="24"/>
                <w:szCs w:val="24"/>
              </w:rPr>
              <w:t>Post-</w:t>
            </w:r>
            <w:r w:rsidR="0033266B">
              <w:rPr>
                <w:sz w:val="24"/>
                <w:szCs w:val="24"/>
              </w:rPr>
              <w:t xml:space="preserve">authorization </w:t>
            </w:r>
            <w:r w:rsidRPr="00AF626A">
              <w:rPr>
                <w:sz w:val="24"/>
                <w:szCs w:val="24"/>
              </w:rPr>
              <w:t>requirements (distribution records, complaint handling, mandatory problem reporting, recalls)</w:t>
            </w:r>
          </w:p>
          <w:p w:rsidR="00CB6FB3" w:rsidRDefault="00CB6FB3" w:rsidP="00CB6FB3">
            <w:pPr>
              <w:rPr>
                <w:sz w:val="24"/>
                <w:szCs w:val="24"/>
              </w:rPr>
            </w:pPr>
          </w:p>
          <w:p w:rsidR="00CB6FB3" w:rsidRPr="00CB6FB3" w:rsidRDefault="00CB6FB3" w:rsidP="00CB6FB3">
            <w:pPr>
              <w:rPr>
                <w:sz w:val="24"/>
                <w:szCs w:val="24"/>
              </w:rPr>
            </w:pPr>
          </w:p>
        </w:tc>
        <w:tc>
          <w:tcPr>
            <w:tcW w:w="4788" w:type="dxa"/>
          </w:tcPr>
          <w:p w:rsidR="00CB6FB3" w:rsidRDefault="00CB6FB3" w:rsidP="00CB6FB3">
            <w:pPr>
              <w:pStyle w:val="ListParagraph"/>
              <w:numPr>
                <w:ilvl w:val="0"/>
                <w:numId w:val="1"/>
              </w:numPr>
              <w:rPr>
                <w:sz w:val="24"/>
                <w:szCs w:val="24"/>
              </w:rPr>
            </w:pPr>
            <w:r>
              <w:rPr>
                <w:sz w:val="24"/>
                <w:szCs w:val="24"/>
              </w:rPr>
              <w:t>Records and documentation requirements</w:t>
            </w:r>
            <w:r w:rsidR="003F19DD">
              <w:rPr>
                <w:sz w:val="24"/>
                <w:szCs w:val="24"/>
              </w:rPr>
              <w:t xml:space="preserve"> under section 81 of MDR</w:t>
            </w:r>
          </w:p>
          <w:p w:rsidR="00AF626A" w:rsidRDefault="00AF626A" w:rsidP="00AF626A">
            <w:pPr>
              <w:pStyle w:val="ListParagraph"/>
              <w:numPr>
                <w:ilvl w:val="0"/>
                <w:numId w:val="1"/>
              </w:numPr>
              <w:rPr>
                <w:sz w:val="24"/>
                <w:szCs w:val="24"/>
              </w:rPr>
            </w:pPr>
            <w:r>
              <w:rPr>
                <w:sz w:val="24"/>
                <w:szCs w:val="24"/>
              </w:rPr>
              <w:t>Application for authorization</w:t>
            </w:r>
          </w:p>
          <w:p w:rsidR="00AF626A" w:rsidRDefault="00AF626A" w:rsidP="00AF626A">
            <w:pPr>
              <w:pStyle w:val="ListParagraph"/>
              <w:numPr>
                <w:ilvl w:val="0"/>
                <w:numId w:val="1"/>
              </w:numPr>
              <w:rPr>
                <w:sz w:val="24"/>
                <w:szCs w:val="24"/>
              </w:rPr>
            </w:pPr>
            <w:r>
              <w:rPr>
                <w:sz w:val="24"/>
                <w:szCs w:val="24"/>
              </w:rPr>
              <w:t>Labelling of investigational medical device</w:t>
            </w:r>
          </w:p>
          <w:p w:rsidR="00AF626A" w:rsidRDefault="00AF626A" w:rsidP="00AF626A">
            <w:pPr>
              <w:pStyle w:val="ListParagraph"/>
              <w:numPr>
                <w:ilvl w:val="0"/>
                <w:numId w:val="1"/>
              </w:numPr>
              <w:rPr>
                <w:sz w:val="24"/>
                <w:szCs w:val="24"/>
              </w:rPr>
            </w:pPr>
            <w:r>
              <w:rPr>
                <w:sz w:val="24"/>
                <w:szCs w:val="24"/>
              </w:rPr>
              <w:t>Advertising of investigational medical device</w:t>
            </w:r>
          </w:p>
          <w:p w:rsidR="00CB6FB3" w:rsidRPr="00AF626A" w:rsidRDefault="00CB6FB3" w:rsidP="0033266B">
            <w:pPr>
              <w:pStyle w:val="ListParagraph"/>
              <w:numPr>
                <w:ilvl w:val="0"/>
                <w:numId w:val="1"/>
              </w:numPr>
              <w:rPr>
                <w:sz w:val="24"/>
                <w:szCs w:val="24"/>
              </w:rPr>
            </w:pPr>
            <w:r>
              <w:rPr>
                <w:sz w:val="24"/>
                <w:szCs w:val="24"/>
              </w:rPr>
              <w:t>Post-</w:t>
            </w:r>
            <w:r w:rsidR="0033266B">
              <w:rPr>
                <w:sz w:val="24"/>
                <w:szCs w:val="24"/>
              </w:rPr>
              <w:t xml:space="preserve">authorization </w:t>
            </w:r>
            <w:r>
              <w:rPr>
                <w:sz w:val="24"/>
                <w:szCs w:val="24"/>
              </w:rPr>
              <w:t>requirements (distribution records, complaint handling, mandatory problem reporting, recalls, registration of implantable devices)</w:t>
            </w:r>
          </w:p>
        </w:tc>
      </w:tr>
    </w:tbl>
    <w:p w:rsidR="00180B58" w:rsidRDefault="00180B58" w:rsidP="0007301E">
      <w:pPr>
        <w:spacing w:before="240" w:after="0"/>
        <w:rPr>
          <w:sz w:val="24"/>
          <w:szCs w:val="24"/>
        </w:rPr>
      </w:pPr>
      <w:r>
        <w:rPr>
          <w:sz w:val="24"/>
          <w:szCs w:val="24"/>
        </w:rPr>
        <w:t xml:space="preserve">Part 3 </w:t>
      </w:r>
      <w:r w:rsidR="009077D6">
        <w:rPr>
          <w:sz w:val="24"/>
          <w:szCs w:val="24"/>
        </w:rPr>
        <w:t xml:space="preserve">of the MDR </w:t>
      </w:r>
      <w:r>
        <w:rPr>
          <w:sz w:val="24"/>
          <w:szCs w:val="24"/>
        </w:rPr>
        <w:t xml:space="preserve">also provides </w:t>
      </w:r>
      <w:r w:rsidRPr="00AF626A">
        <w:rPr>
          <w:sz w:val="24"/>
          <w:szCs w:val="24"/>
        </w:rPr>
        <w:t xml:space="preserve">authority </w:t>
      </w:r>
      <w:r>
        <w:rPr>
          <w:sz w:val="24"/>
          <w:szCs w:val="24"/>
        </w:rPr>
        <w:t xml:space="preserve">for Health Canada </w:t>
      </w:r>
      <w:r w:rsidRPr="00AF626A">
        <w:rPr>
          <w:sz w:val="24"/>
          <w:szCs w:val="24"/>
        </w:rPr>
        <w:t xml:space="preserve">to request additional information either prior to authorization or during the study </w:t>
      </w:r>
      <w:r>
        <w:rPr>
          <w:sz w:val="24"/>
          <w:szCs w:val="24"/>
        </w:rPr>
        <w:t>and to intervene in the study, if necessary.</w:t>
      </w:r>
    </w:p>
    <w:p w:rsidR="0007301E" w:rsidRDefault="0007301E" w:rsidP="0007301E">
      <w:pPr>
        <w:spacing w:before="240" w:after="0"/>
        <w:rPr>
          <w:sz w:val="24"/>
          <w:szCs w:val="24"/>
        </w:rPr>
      </w:pPr>
    </w:p>
    <w:p w:rsidR="00320BF1" w:rsidRPr="006D0608" w:rsidRDefault="0007301E">
      <w:pPr>
        <w:rPr>
          <w:b/>
          <w:sz w:val="24"/>
          <w:szCs w:val="24"/>
        </w:rPr>
      </w:pPr>
      <w:r>
        <w:rPr>
          <w:b/>
          <w:sz w:val="24"/>
          <w:szCs w:val="24"/>
        </w:rPr>
        <w:t>ISSUES FOR DISCUSSION</w:t>
      </w:r>
    </w:p>
    <w:p w:rsidR="00E02F83" w:rsidRPr="006D0608" w:rsidRDefault="00EC10D4" w:rsidP="006D0608">
      <w:pPr>
        <w:rPr>
          <w:sz w:val="24"/>
          <w:szCs w:val="24"/>
        </w:rPr>
      </w:pPr>
      <w:r w:rsidRPr="006D0608">
        <w:rPr>
          <w:sz w:val="24"/>
          <w:szCs w:val="24"/>
        </w:rPr>
        <w:t>There are s</w:t>
      </w:r>
      <w:r w:rsidR="005E16AB" w:rsidRPr="006D0608">
        <w:rPr>
          <w:sz w:val="24"/>
          <w:szCs w:val="24"/>
        </w:rPr>
        <w:t xml:space="preserve">ome differences </w:t>
      </w:r>
      <w:r w:rsidRPr="006D0608">
        <w:rPr>
          <w:sz w:val="24"/>
          <w:szCs w:val="24"/>
        </w:rPr>
        <w:t xml:space="preserve">in </w:t>
      </w:r>
      <w:r w:rsidR="005E16AB" w:rsidRPr="006D0608">
        <w:rPr>
          <w:sz w:val="24"/>
          <w:szCs w:val="24"/>
        </w:rPr>
        <w:t>the regulatory requirements for device IT and drug clinical trials.</w:t>
      </w:r>
      <w:r w:rsidR="000F3B13" w:rsidRPr="006D0608">
        <w:rPr>
          <w:sz w:val="24"/>
          <w:szCs w:val="24"/>
        </w:rPr>
        <w:t xml:space="preserve"> </w:t>
      </w:r>
      <w:r w:rsidR="008B093B" w:rsidRPr="006D0608">
        <w:rPr>
          <w:sz w:val="24"/>
          <w:szCs w:val="24"/>
        </w:rPr>
        <w:t xml:space="preserve">For example, the </w:t>
      </w:r>
      <w:r w:rsidR="008B093B" w:rsidRPr="006D0608">
        <w:rPr>
          <w:i/>
          <w:sz w:val="24"/>
          <w:szCs w:val="24"/>
        </w:rPr>
        <w:t>Food and Drug Regulations</w:t>
      </w:r>
      <w:r w:rsidR="008B093B" w:rsidRPr="006D0608">
        <w:rPr>
          <w:sz w:val="24"/>
          <w:szCs w:val="24"/>
        </w:rPr>
        <w:t xml:space="preserve"> incorporate Good Clinical Practices (GCPs) for drug clinical trials</w:t>
      </w:r>
      <w:r w:rsidR="000E76AF" w:rsidRPr="006D0608">
        <w:rPr>
          <w:sz w:val="24"/>
          <w:szCs w:val="24"/>
        </w:rPr>
        <w:t>,</w:t>
      </w:r>
      <w:r w:rsidR="008B093B" w:rsidRPr="006D0608">
        <w:rPr>
          <w:sz w:val="24"/>
          <w:szCs w:val="24"/>
        </w:rPr>
        <w:t xml:space="preserve"> provide </w:t>
      </w:r>
      <w:r w:rsidR="000E76AF" w:rsidRPr="006D0608">
        <w:rPr>
          <w:sz w:val="24"/>
          <w:szCs w:val="24"/>
        </w:rPr>
        <w:t xml:space="preserve">sponsors with </w:t>
      </w:r>
      <w:r w:rsidR="008B093B" w:rsidRPr="006D0608">
        <w:rPr>
          <w:sz w:val="24"/>
          <w:szCs w:val="24"/>
        </w:rPr>
        <w:t>the ability to file amendments and notifications</w:t>
      </w:r>
      <w:r w:rsidR="000E76AF" w:rsidRPr="006D0608">
        <w:rPr>
          <w:sz w:val="24"/>
          <w:szCs w:val="24"/>
        </w:rPr>
        <w:t xml:space="preserve">, and ease administrative burden by permitting </w:t>
      </w:r>
      <w:r w:rsidR="00320BF1" w:rsidRPr="006D0608">
        <w:rPr>
          <w:sz w:val="24"/>
          <w:szCs w:val="24"/>
        </w:rPr>
        <w:t>parallel applications for clinical trial</w:t>
      </w:r>
      <w:r w:rsidR="006D0608">
        <w:rPr>
          <w:sz w:val="24"/>
          <w:szCs w:val="24"/>
        </w:rPr>
        <w:t>s</w:t>
      </w:r>
      <w:r w:rsidR="00320BF1" w:rsidRPr="006D0608">
        <w:rPr>
          <w:sz w:val="24"/>
          <w:szCs w:val="24"/>
        </w:rPr>
        <w:t xml:space="preserve"> and </w:t>
      </w:r>
      <w:r w:rsidR="008E2968" w:rsidRPr="006D0608">
        <w:rPr>
          <w:sz w:val="24"/>
          <w:szCs w:val="24"/>
        </w:rPr>
        <w:t>Research Ethics Board (</w:t>
      </w:r>
      <w:r w:rsidR="00320BF1" w:rsidRPr="006D0608">
        <w:rPr>
          <w:sz w:val="24"/>
          <w:szCs w:val="24"/>
        </w:rPr>
        <w:t>REB</w:t>
      </w:r>
      <w:r w:rsidR="008E2968" w:rsidRPr="006D0608">
        <w:rPr>
          <w:sz w:val="24"/>
          <w:szCs w:val="24"/>
        </w:rPr>
        <w:t>)</w:t>
      </w:r>
      <w:r w:rsidR="00320BF1" w:rsidRPr="006D0608">
        <w:rPr>
          <w:sz w:val="24"/>
          <w:szCs w:val="24"/>
        </w:rPr>
        <w:t xml:space="preserve"> approval</w:t>
      </w:r>
      <w:r w:rsidR="006D0608">
        <w:rPr>
          <w:sz w:val="24"/>
          <w:szCs w:val="24"/>
        </w:rPr>
        <w:t>s</w:t>
      </w:r>
      <w:r w:rsidR="008B093B" w:rsidRPr="006D0608">
        <w:rPr>
          <w:sz w:val="24"/>
          <w:szCs w:val="24"/>
        </w:rPr>
        <w:t xml:space="preserve">. </w:t>
      </w:r>
      <w:r w:rsidRPr="006D0608">
        <w:rPr>
          <w:sz w:val="24"/>
          <w:szCs w:val="24"/>
        </w:rPr>
        <w:t xml:space="preserve">More consistent regulatory approaches across the product lines would provide comparable patient protection while encouraging research in Canada. In 2018, the </w:t>
      </w:r>
      <w:r w:rsidRPr="006D0608">
        <w:rPr>
          <w:i/>
          <w:sz w:val="24"/>
          <w:szCs w:val="24"/>
        </w:rPr>
        <w:t>Applications for Medical Device Investigational Testing Authorizations</w:t>
      </w:r>
      <w:r w:rsidRPr="006D0608">
        <w:rPr>
          <w:sz w:val="24"/>
          <w:szCs w:val="24"/>
        </w:rPr>
        <w:t xml:space="preserve"> guidance document</w:t>
      </w:r>
      <w:r w:rsidRPr="006D0608" w:rsidDel="00F60BF5">
        <w:rPr>
          <w:sz w:val="24"/>
          <w:szCs w:val="24"/>
        </w:rPr>
        <w:t xml:space="preserve"> </w:t>
      </w:r>
      <w:r w:rsidRPr="006D0608">
        <w:rPr>
          <w:sz w:val="24"/>
          <w:szCs w:val="24"/>
        </w:rPr>
        <w:t xml:space="preserve">was updated to </w:t>
      </w:r>
      <w:r w:rsidR="00306E4A" w:rsidRPr="006D0608">
        <w:rPr>
          <w:sz w:val="24"/>
          <w:szCs w:val="24"/>
        </w:rPr>
        <w:t>incorporate</w:t>
      </w:r>
      <w:r w:rsidRPr="006D0608">
        <w:rPr>
          <w:sz w:val="24"/>
          <w:szCs w:val="24"/>
        </w:rPr>
        <w:t xml:space="preserve"> by policy some </w:t>
      </w:r>
      <w:r w:rsidR="00E02F83" w:rsidRPr="006D0608">
        <w:rPr>
          <w:sz w:val="24"/>
          <w:szCs w:val="24"/>
        </w:rPr>
        <w:t xml:space="preserve">best practices </w:t>
      </w:r>
      <w:r w:rsidRPr="006D0608">
        <w:rPr>
          <w:sz w:val="24"/>
          <w:szCs w:val="24"/>
        </w:rPr>
        <w:t xml:space="preserve">from the drug clinical trial framework. </w:t>
      </w:r>
      <w:r w:rsidR="003A4D98" w:rsidRPr="006D0608">
        <w:rPr>
          <w:sz w:val="24"/>
          <w:szCs w:val="24"/>
        </w:rPr>
        <w:t xml:space="preserve">Health Canada </w:t>
      </w:r>
      <w:r w:rsidR="00283CDC" w:rsidRPr="006D0608">
        <w:rPr>
          <w:sz w:val="24"/>
          <w:szCs w:val="24"/>
        </w:rPr>
        <w:t xml:space="preserve">is </w:t>
      </w:r>
      <w:r w:rsidR="003A4D98" w:rsidRPr="006D0608">
        <w:rPr>
          <w:sz w:val="24"/>
          <w:szCs w:val="24"/>
        </w:rPr>
        <w:t xml:space="preserve">now </w:t>
      </w:r>
      <w:r w:rsidR="008E2968" w:rsidRPr="006D0608">
        <w:rPr>
          <w:sz w:val="24"/>
          <w:szCs w:val="24"/>
        </w:rPr>
        <w:t xml:space="preserve">evaluating </w:t>
      </w:r>
      <w:r w:rsidR="00E02F83" w:rsidRPr="006D0608">
        <w:rPr>
          <w:sz w:val="24"/>
          <w:szCs w:val="24"/>
        </w:rPr>
        <w:t>the</w:t>
      </w:r>
      <w:r w:rsidR="00283CDC" w:rsidRPr="006D0608">
        <w:rPr>
          <w:sz w:val="24"/>
          <w:szCs w:val="24"/>
        </w:rPr>
        <w:t xml:space="preserve"> success of the</w:t>
      </w:r>
      <w:r w:rsidR="00E02F83" w:rsidRPr="006D0608">
        <w:rPr>
          <w:sz w:val="24"/>
          <w:szCs w:val="24"/>
        </w:rPr>
        <w:t xml:space="preserve">se </w:t>
      </w:r>
      <w:r w:rsidRPr="006D0608">
        <w:rPr>
          <w:sz w:val="24"/>
          <w:szCs w:val="24"/>
        </w:rPr>
        <w:t xml:space="preserve">changes </w:t>
      </w:r>
      <w:r w:rsidR="00E02F83" w:rsidRPr="006D0608">
        <w:rPr>
          <w:sz w:val="24"/>
          <w:szCs w:val="24"/>
        </w:rPr>
        <w:t xml:space="preserve">and </w:t>
      </w:r>
      <w:r w:rsidR="008E2968" w:rsidRPr="006D0608">
        <w:rPr>
          <w:sz w:val="24"/>
          <w:szCs w:val="24"/>
        </w:rPr>
        <w:t xml:space="preserve">assessing </w:t>
      </w:r>
      <w:r w:rsidR="00E02F83" w:rsidRPr="006D0608">
        <w:rPr>
          <w:sz w:val="24"/>
          <w:szCs w:val="24"/>
        </w:rPr>
        <w:t xml:space="preserve">whether </w:t>
      </w:r>
      <w:r w:rsidRPr="006D0608">
        <w:rPr>
          <w:sz w:val="24"/>
          <w:szCs w:val="24"/>
        </w:rPr>
        <w:t xml:space="preserve">additional </w:t>
      </w:r>
      <w:r w:rsidR="00E02F83" w:rsidRPr="006D0608">
        <w:rPr>
          <w:sz w:val="24"/>
          <w:szCs w:val="24"/>
        </w:rPr>
        <w:t xml:space="preserve">reforms </w:t>
      </w:r>
      <w:r w:rsidRPr="006D0608">
        <w:rPr>
          <w:sz w:val="24"/>
          <w:szCs w:val="24"/>
        </w:rPr>
        <w:t xml:space="preserve">might be </w:t>
      </w:r>
      <w:r w:rsidR="00E02F83" w:rsidRPr="006D0608">
        <w:rPr>
          <w:sz w:val="24"/>
          <w:szCs w:val="24"/>
        </w:rPr>
        <w:t>appropriate.</w:t>
      </w:r>
    </w:p>
    <w:p w:rsidR="00E02F83" w:rsidRPr="006D0608" w:rsidRDefault="0007301E" w:rsidP="006D0608">
      <w:pPr>
        <w:rPr>
          <w:sz w:val="24"/>
          <w:szCs w:val="24"/>
        </w:rPr>
      </w:pPr>
      <w:r>
        <w:rPr>
          <w:sz w:val="24"/>
          <w:szCs w:val="24"/>
        </w:rPr>
        <w:t xml:space="preserve">Health Canada is also considering </w:t>
      </w:r>
      <w:r w:rsidR="00306E4A" w:rsidRPr="006D0608">
        <w:rPr>
          <w:sz w:val="24"/>
          <w:szCs w:val="24"/>
        </w:rPr>
        <w:t xml:space="preserve">international </w:t>
      </w:r>
      <w:r w:rsidR="00602EE8" w:rsidRPr="006D0608">
        <w:rPr>
          <w:sz w:val="24"/>
          <w:szCs w:val="24"/>
        </w:rPr>
        <w:t xml:space="preserve">best </w:t>
      </w:r>
      <w:r w:rsidR="00E02F83" w:rsidRPr="006D0608">
        <w:rPr>
          <w:sz w:val="24"/>
          <w:szCs w:val="24"/>
        </w:rPr>
        <w:t xml:space="preserve">practices that </w:t>
      </w:r>
      <w:r w:rsidR="00EC10D4" w:rsidRPr="006D0608">
        <w:rPr>
          <w:sz w:val="24"/>
          <w:szCs w:val="24"/>
        </w:rPr>
        <w:t>c</w:t>
      </w:r>
      <w:r w:rsidR="00E02F83" w:rsidRPr="006D0608">
        <w:rPr>
          <w:sz w:val="24"/>
          <w:szCs w:val="24"/>
        </w:rPr>
        <w:t>ould make the Canadian investigational testing environment more competitive.</w:t>
      </w:r>
      <w:r w:rsidR="006D0608" w:rsidRPr="006D0608">
        <w:rPr>
          <w:sz w:val="24"/>
          <w:szCs w:val="24"/>
        </w:rPr>
        <w:t xml:space="preserve"> The issues </w:t>
      </w:r>
      <w:r>
        <w:rPr>
          <w:sz w:val="24"/>
          <w:szCs w:val="24"/>
        </w:rPr>
        <w:t xml:space="preserve">outlined in this discussion document </w:t>
      </w:r>
      <w:r w:rsidR="006D0608" w:rsidRPr="006D0608">
        <w:rPr>
          <w:sz w:val="24"/>
          <w:szCs w:val="24"/>
        </w:rPr>
        <w:t>exemplify key areas where Canada’s device IT framework is inconsistent with those of other jurisdictions.</w:t>
      </w:r>
      <w:r w:rsidR="006D0608">
        <w:rPr>
          <w:sz w:val="24"/>
          <w:szCs w:val="24"/>
        </w:rPr>
        <w:t xml:space="preserve"> F</w:t>
      </w:r>
      <w:r w:rsidR="003A4D98" w:rsidRPr="006D0608">
        <w:rPr>
          <w:sz w:val="24"/>
          <w:szCs w:val="24"/>
        </w:rPr>
        <w:t>urther study needs to be conducted to determine the appropriate approach for Canada.</w:t>
      </w:r>
    </w:p>
    <w:p w:rsidR="00CB0ADD" w:rsidRDefault="00CB0ADD">
      <w:pPr>
        <w:rPr>
          <w:sz w:val="24"/>
          <w:szCs w:val="24"/>
        </w:rPr>
      </w:pPr>
      <w:r>
        <w:rPr>
          <w:sz w:val="24"/>
          <w:szCs w:val="24"/>
        </w:rPr>
        <w:br w:type="page"/>
      </w:r>
    </w:p>
    <w:p w:rsidR="0033266B" w:rsidRPr="006D0608" w:rsidRDefault="0007301E" w:rsidP="0033266B">
      <w:pPr>
        <w:spacing w:after="0"/>
        <w:rPr>
          <w:sz w:val="24"/>
          <w:szCs w:val="24"/>
        </w:rPr>
      </w:pPr>
      <w:r>
        <w:rPr>
          <w:sz w:val="24"/>
          <w:szCs w:val="24"/>
        </w:rPr>
        <w:lastRenderedPageBreak/>
        <w:t>Health Canada invites your feedback on t</w:t>
      </w:r>
      <w:r w:rsidR="0033266B" w:rsidRPr="006D0608">
        <w:rPr>
          <w:sz w:val="24"/>
          <w:szCs w:val="24"/>
        </w:rPr>
        <w:t xml:space="preserve">he following </w:t>
      </w:r>
      <w:r w:rsidR="00602EE8" w:rsidRPr="006D0608">
        <w:rPr>
          <w:sz w:val="24"/>
          <w:szCs w:val="24"/>
        </w:rPr>
        <w:t>issues</w:t>
      </w:r>
      <w:r>
        <w:rPr>
          <w:sz w:val="24"/>
          <w:szCs w:val="24"/>
        </w:rPr>
        <w:t>:</w:t>
      </w:r>
    </w:p>
    <w:p w:rsidR="00C31FA1" w:rsidRPr="006D0608" w:rsidRDefault="00C31FA1" w:rsidP="0033266B">
      <w:pPr>
        <w:spacing w:after="0"/>
        <w:rPr>
          <w:sz w:val="24"/>
          <w:szCs w:val="24"/>
        </w:rPr>
      </w:pPr>
    </w:p>
    <w:p w:rsidR="004C7EEA" w:rsidRPr="006D0608" w:rsidRDefault="004C7EEA" w:rsidP="004C7EEA">
      <w:pPr>
        <w:rPr>
          <w:b/>
          <w:sz w:val="24"/>
          <w:szCs w:val="24"/>
        </w:rPr>
      </w:pPr>
      <w:r w:rsidRPr="006D0608">
        <w:rPr>
          <w:b/>
          <w:sz w:val="24"/>
          <w:szCs w:val="24"/>
        </w:rPr>
        <w:t>1. Expanding the scope of who can apply for an ITA</w:t>
      </w:r>
    </w:p>
    <w:p w:rsidR="004C7EEA" w:rsidRDefault="004C7EEA" w:rsidP="004C7EEA">
      <w:pPr>
        <w:spacing w:after="0"/>
        <w:rPr>
          <w:sz w:val="24"/>
          <w:szCs w:val="24"/>
        </w:rPr>
      </w:pPr>
      <w:r w:rsidRPr="006D0608">
        <w:rPr>
          <w:sz w:val="24"/>
          <w:szCs w:val="24"/>
        </w:rPr>
        <w:t>Under the MDR, only manufacturers may apply to conduct investigational studies on medical devices. Although a delegation mechanism exists</w:t>
      </w:r>
      <w:r w:rsidR="00986A15" w:rsidRPr="006D0608">
        <w:rPr>
          <w:sz w:val="24"/>
          <w:szCs w:val="24"/>
        </w:rPr>
        <w:t xml:space="preserve"> in the </w:t>
      </w:r>
      <w:r w:rsidR="00986A15" w:rsidRPr="006D0608">
        <w:rPr>
          <w:i/>
          <w:sz w:val="24"/>
          <w:szCs w:val="24"/>
        </w:rPr>
        <w:t>Guidance Document:  Applications for Medical Device Investigational Testing Authorizations</w:t>
      </w:r>
      <w:r w:rsidRPr="006D0608">
        <w:rPr>
          <w:sz w:val="24"/>
          <w:szCs w:val="24"/>
        </w:rPr>
        <w:t xml:space="preserve"> to allow </w:t>
      </w:r>
      <w:r w:rsidR="005F5143" w:rsidRPr="006D0608">
        <w:rPr>
          <w:sz w:val="24"/>
          <w:szCs w:val="24"/>
        </w:rPr>
        <w:t xml:space="preserve">an investigator </w:t>
      </w:r>
      <w:r w:rsidR="00124809" w:rsidRPr="006D0608">
        <w:rPr>
          <w:sz w:val="24"/>
          <w:szCs w:val="24"/>
        </w:rPr>
        <w:t>(</w:t>
      </w:r>
      <w:r w:rsidR="008F0D8F" w:rsidRPr="006D0608">
        <w:rPr>
          <w:sz w:val="24"/>
          <w:szCs w:val="24"/>
        </w:rPr>
        <w:t>such as a</w:t>
      </w:r>
      <w:r w:rsidR="00225773" w:rsidRPr="006D0608">
        <w:rPr>
          <w:sz w:val="24"/>
          <w:szCs w:val="24"/>
        </w:rPr>
        <w:t xml:space="preserve"> </w:t>
      </w:r>
      <w:r w:rsidR="00986A15" w:rsidRPr="006D0608">
        <w:rPr>
          <w:sz w:val="24"/>
          <w:szCs w:val="24"/>
        </w:rPr>
        <w:t>clinician</w:t>
      </w:r>
      <w:r w:rsidR="00225773" w:rsidRPr="006D0608">
        <w:rPr>
          <w:sz w:val="24"/>
          <w:szCs w:val="24"/>
        </w:rPr>
        <w:t xml:space="preserve"> or health care facility</w:t>
      </w:r>
      <w:r w:rsidR="00124809" w:rsidRPr="006D0608">
        <w:rPr>
          <w:sz w:val="24"/>
          <w:szCs w:val="24"/>
        </w:rPr>
        <w:t>)</w:t>
      </w:r>
      <w:r w:rsidR="003D50C9" w:rsidRPr="006D0608">
        <w:rPr>
          <w:sz w:val="24"/>
          <w:szCs w:val="24"/>
        </w:rPr>
        <w:t xml:space="preserve"> </w:t>
      </w:r>
      <w:r w:rsidR="005F5143" w:rsidRPr="006D0608">
        <w:rPr>
          <w:sz w:val="24"/>
          <w:szCs w:val="24"/>
        </w:rPr>
        <w:t xml:space="preserve">authorized by the manufacturer </w:t>
      </w:r>
      <w:r w:rsidRPr="006D0608">
        <w:rPr>
          <w:sz w:val="24"/>
          <w:szCs w:val="24"/>
        </w:rPr>
        <w:t>to become the regulatory correspondent, the</w:t>
      </w:r>
      <w:r w:rsidR="005F5143" w:rsidRPr="006D0608">
        <w:rPr>
          <w:sz w:val="24"/>
          <w:szCs w:val="24"/>
        </w:rPr>
        <w:t xml:space="preserve"> investigator </w:t>
      </w:r>
      <w:r w:rsidRPr="006D0608">
        <w:rPr>
          <w:sz w:val="24"/>
          <w:szCs w:val="24"/>
        </w:rPr>
        <w:t xml:space="preserve">cannot file the ITA application and </w:t>
      </w:r>
      <w:r w:rsidR="005F5143" w:rsidRPr="006D0608">
        <w:rPr>
          <w:sz w:val="24"/>
          <w:szCs w:val="24"/>
        </w:rPr>
        <w:t xml:space="preserve">is </w:t>
      </w:r>
      <w:r w:rsidRPr="006D0608">
        <w:rPr>
          <w:sz w:val="24"/>
          <w:szCs w:val="24"/>
        </w:rPr>
        <w:t>not legally responsible for the investigational testing.</w:t>
      </w:r>
    </w:p>
    <w:p w:rsidR="00486652" w:rsidRDefault="00486652" w:rsidP="004C7EEA">
      <w:pPr>
        <w:spacing w:after="0"/>
        <w:rPr>
          <w:sz w:val="24"/>
          <w:szCs w:val="24"/>
        </w:rPr>
      </w:pPr>
    </w:p>
    <w:p w:rsidR="00486652" w:rsidRPr="006D0608" w:rsidRDefault="00486652" w:rsidP="001823A8">
      <w:pPr>
        <w:spacing w:after="0"/>
        <w:rPr>
          <w:sz w:val="24"/>
          <w:szCs w:val="24"/>
        </w:rPr>
      </w:pPr>
      <w:r>
        <w:rPr>
          <w:sz w:val="24"/>
          <w:szCs w:val="24"/>
        </w:rPr>
        <w:t>In the United States</w:t>
      </w:r>
      <w:r w:rsidR="001823A8">
        <w:rPr>
          <w:sz w:val="24"/>
          <w:szCs w:val="24"/>
        </w:rPr>
        <w:t xml:space="preserve"> and the European Union</w:t>
      </w:r>
      <w:r>
        <w:rPr>
          <w:sz w:val="24"/>
          <w:szCs w:val="24"/>
        </w:rPr>
        <w:t>, a study on an investigational medical device may be carried out by either a manufacturer or an independent investigator.</w:t>
      </w:r>
    </w:p>
    <w:p w:rsidR="004C7EEA" w:rsidRPr="006D0608" w:rsidRDefault="004C7EEA" w:rsidP="004C7EEA">
      <w:pPr>
        <w:spacing w:after="0"/>
        <w:rPr>
          <w:sz w:val="24"/>
          <w:szCs w:val="24"/>
        </w:rPr>
      </w:pPr>
    </w:p>
    <w:tbl>
      <w:tblPr>
        <w:tblStyle w:val="TableGrid"/>
        <w:tblW w:w="0" w:type="auto"/>
        <w:tblInd w:w="108" w:type="dxa"/>
        <w:tblLook w:val="04A0" w:firstRow="1" w:lastRow="0" w:firstColumn="1" w:lastColumn="0" w:noHBand="0" w:noVBand="1"/>
      </w:tblPr>
      <w:tblGrid>
        <w:gridCol w:w="9214"/>
      </w:tblGrid>
      <w:tr w:rsidR="006D0608" w:rsidRPr="006D0608" w:rsidTr="00977AB8">
        <w:tc>
          <w:tcPr>
            <w:tcW w:w="9214" w:type="dxa"/>
          </w:tcPr>
          <w:p w:rsidR="004C7EEA" w:rsidRPr="006D0608" w:rsidRDefault="004C7EEA" w:rsidP="00977AB8">
            <w:pPr>
              <w:rPr>
                <w:b/>
                <w:sz w:val="24"/>
                <w:szCs w:val="24"/>
              </w:rPr>
            </w:pPr>
            <w:r w:rsidRPr="006D0608">
              <w:rPr>
                <w:b/>
                <w:sz w:val="24"/>
                <w:szCs w:val="24"/>
              </w:rPr>
              <w:t>QUESTIONS:</w:t>
            </w:r>
          </w:p>
          <w:p w:rsidR="004C7EEA" w:rsidRPr="006D0608" w:rsidRDefault="004C7EEA" w:rsidP="00977AB8">
            <w:pPr>
              <w:rPr>
                <w:sz w:val="24"/>
                <w:szCs w:val="24"/>
              </w:rPr>
            </w:pPr>
          </w:p>
          <w:p w:rsidR="004E07D5" w:rsidRPr="006D0608" w:rsidRDefault="00D509E9" w:rsidP="00D509E9">
            <w:pPr>
              <w:rPr>
                <w:sz w:val="24"/>
                <w:szCs w:val="24"/>
              </w:rPr>
            </w:pPr>
            <w:r w:rsidRPr="006D0608">
              <w:rPr>
                <w:sz w:val="24"/>
                <w:szCs w:val="24"/>
              </w:rPr>
              <w:t xml:space="preserve">a. </w:t>
            </w:r>
            <w:r w:rsidR="00225773" w:rsidRPr="006D0608">
              <w:rPr>
                <w:sz w:val="24"/>
                <w:szCs w:val="24"/>
              </w:rPr>
              <w:t xml:space="preserve">What has been your </w:t>
            </w:r>
            <w:r w:rsidR="004E07D5" w:rsidRPr="006D0608">
              <w:rPr>
                <w:sz w:val="24"/>
                <w:szCs w:val="24"/>
              </w:rPr>
              <w:t xml:space="preserve">experience with this </w:t>
            </w:r>
            <w:r w:rsidR="003C18BA" w:rsidRPr="006D0608">
              <w:rPr>
                <w:sz w:val="24"/>
                <w:szCs w:val="24"/>
              </w:rPr>
              <w:t>delegation mechanism?</w:t>
            </w:r>
          </w:p>
          <w:p w:rsidR="004E07D5" w:rsidRPr="006D0608" w:rsidRDefault="004E07D5" w:rsidP="00D509E9">
            <w:pPr>
              <w:rPr>
                <w:sz w:val="24"/>
                <w:szCs w:val="24"/>
              </w:rPr>
            </w:pPr>
          </w:p>
          <w:p w:rsidR="00D509E9" w:rsidRPr="006D0608" w:rsidRDefault="004E07D5" w:rsidP="00D509E9">
            <w:pPr>
              <w:rPr>
                <w:sz w:val="24"/>
                <w:szCs w:val="24"/>
              </w:rPr>
            </w:pPr>
            <w:r w:rsidRPr="006D0608">
              <w:rPr>
                <w:sz w:val="24"/>
                <w:szCs w:val="24"/>
              </w:rPr>
              <w:t xml:space="preserve">b. </w:t>
            </w:r>
            <w:r w:rsidR="00D509E9" w:rsidRPr="006D0608">
              <w:rPr>
                <w:sz w:val="24"/>
                <w:szCs w:val="24"/>
              </w:rPr>
              <w:t xml:space="preserve">Is there a need </w:t>
            </w:r>
            <w:r w:rsidR="00AF2B7F" w:rsidRPr="006D0608">
              <w:rPr>
                <w:sz w:val="24"/>
                <w:szCs w:val="24"/>
              </w:rPr>
              <w:t>to</w:t>
            </w:r>
            <w:r w:rsidR="003D50C9" w:rsidRPr="006D0608">
              <w:rPr>
                <w:sz w:val="24"/>
                <w:szCs w:val="24"/>
              </w:rPr>
              <w:t xml:space="preserve"> enable an investigator</w:t>
            </w:r>
            <w:r w:rsidR="00D509E9" w:rsidRPr="006D0608">
              <w:rPr>
                <w:sz w:val="24"/>
                <w:szCs w:val="24"/>
              </w:rPr>
              <w:t xml:space="preserve">, independent of the device manufacturer, to pursue </w:t>
            </w:r>
            <w:r w:rsidR="00E40164" w:rsidRPr="006D0608">
              <w:rPr>
                <w:sz w:val="24"/>
                <w:szCs w:val="24"/>
              </w:rPr>
              <w:t>the</w:t>
            </w:r>
            <w:r w:rsidR="00D509E9" w:rsidRPr="006D0608">
              <w:rPr>
                <w:sz w:val="24"/>
                <w:szCs w:val="24"/>
              </w:rPr>
              <w:t xml:space="preserve"> inve</w:t>
            </w:r>
            <w:r w:rsidR="00E40164" w:rsidRPr="006D0608">
              <w:rPr>
                <w:sz w:val="24"/>
                <w:szCs w:val="24"/>
              </w:rPr>
              <w:t>stigational testing</w:t>
            </w:r>
            <w:r w:rsidR="00D509E9" w:rsidRPr="006D0608">
              <w:rPr>
                <w:sz w:val="24"/>
                <w:szCs w:val="24"/>
              </w:rPr>
              <w:t xml:space="preserve"> of a medical device? Please explain.</w:t>
            </w:r>
          </w:p>
          <w:p w:rsidR="00D509E9" w:rsidRPr="006D0608" w:rsidRDefault="00D509E9" w:rsidP="00D509E9">
            <w:pPr>
              <w:rPr>
                <w:sz w:val="24"/>
                <w:szCs w:val="24"/>
              </w:rPr>
            </w:pPr>
          </w:p>
          <w:p w:rsidR="004C7EEA" w:rsidRPr="006D0608" w:rsidRDefault="006D0608" w:rsidP="006D0608">
            <w:pPr>
              <w:rPr>
                <w:sz w:val="24"/>
                <w:szCs w:val="24"/>
              </w:rPr>
            </w:pPr>
            <w:r>
              <w:rPr>
                <w:sz w:val="24"/>
                <w:szCs w:val="24"/>
              </w:rPr>
              <w:t>c</w:t>
            </w:r>
            <w:r w:rsidR="003D50C9" w:rsidRPr="006D0608">
              <w:rPr>
                <w:sz w:val="24"/>
                <w:szCs w:val="24"/>
              </w:rPr>
              <w:t>. What challenges would</w:t>
            </w:r>
            <w:r w:rsidR="00D509E9" w:rsidRPr="006D0608">
              <w:rPr>
                <w:sz w:val="24"/>
                <w:szCs w:val="24"/>
              </w:rPr>
              <w:t xml:space="preserve"> you anticipate when an independent </w:t>
            </w:r>
            <w:r w:rsidR="003D50C9" w:rsidRPr="006D0608">
              <w:rPr>
                <w:sz w:val="24"/>
                <w:szCs w:val="24"/>
              </w:rPr>
              <w:t>investigator</w:t>
            </w:r>
            <w:r w:rsidR="00D509E9" w:rsidRPr="006D0608">
              <w:rPr>
                <w:sz w:val="24"/>
                <w:szCs w:val="24"/>
              </w:rPr>
              <w:t xml:space="preserve"> undertakes investigational testing of an unlicensed medical device, or a new use for a licensed medical device?</w:t>
            </w:r>
          </w:p>
        </w:tc>
      </w:tr>
    </w:tbl>
    <w:p w:rsidR="004C7EEA" w:rsidRPr="006D0608" w:rsidRDefault="004C7EEA" w:rsidP="004C7EEA">
      <w:pPr>
        <w:rPr>
          <w:b/>
          <w:sz w:val="24"/>
          <w:szCs w:val="24"/>
        </w:rPr>
      </w:pPr>
    </w:p>
    <w:p w:rsidR="004C7EEA" w:rsidRPr="006D0608" w:rsidRDefault="004C7EEA" w:rsidP="004C7EEA">
      <w:pPr>
        <w:rPr>
          <w:b/>
          <w:sz w:val="24"/>
          <w:szCs w:val="24"/>
        </w:rPr>
      </w:pPr>
      <w:r w:rsidRPr="006D0608">
        <w:rPr>
          <w:b/>
          <w:sz w:val="24"/>
          <w:szCs w:val="24"/>
        </w:rPr>
        <w:t xml:space="preserve">2. Revisions to </w:t>
      </w:r>
      <w:r w:rsidR="001B3777" w:rsidRPr="006D0608">
        <w:rPr>
          <w:b/>
          <w:sz w:val="24"/>
          <w:szCs w:val="24"/>
        </w:rPr>
        <w:t xml:space="preserve">an </w:t>
      </w:r>
      <w:r w:rsidRPr="006D0608">
        <w:rPr>
          <w:b/>
          <w:sz w:val="24"/>
          <w:szCs w:val="24"/>
        </w:rPr>
        <w:t>ITA</w:t>
      </w:r>
    </w:p>
    <w:p w:rsidR="003A11A2" w:rsidRPr="006D0608" w:rsidRDefault="00C31FA1" w:rsidP="003A11A2">
      <w:pPr>
        <w:spacing w:after="0"/>
        <w:rPr>
          <w:sz w:val="24"/>
          <w:szCs w:val="24"/>
        </w:rPr>
      </w:pPr>
      <w:r w:rsidRPr="006D0608">
        <w:rPr>
          <w:sz w:val="24"/>
          <w:szCs w:val="24"/>
        </w:rPr>
        <w:t xml:space="preserve">Under the current </w:t>
      </w:r>
      <w:r w:rsidR="003A11A2" w:rsidRPr="006D0608">
        <w:rPr>
          <w:sz w:val="24"/>
          <w:szCs w:val="24"/>
        </w:rPr>
        <w:t xml:space="preserve">regulatory </w:t>
      </w:r>
      <w:r w:rsidRPr="006D0608">
        <w:rPr>
          <w:sz w:val="24"/>
          <w:szCs w:val="24"/>
        </w:rPr>
        <w:t xml:space="preserve">framework, there are no provisions </w:t>
      </w:r>
      <w:r w:rsidR="003A11A2" w:rsidRPr="006D0608">
        <w:rPr>
          <w:sz w:val="24"/>
          <w:szCs w:val="24"/>
        </w:rPr>
        <w:t xml:space="preserve">that allow </w:t>
      </w:r>
      <w:r w:rsidRPr="006D0608">
        <w:rPr>
          <w:sz w:val="24"/>
          <w:szCs w:val="24"/>
        </w:rPr>
        <w:t xml:space="preserve">Health Canada to authorize </w:t>
      </w:r>
      <w:r w:rsidR="003A11A2" w:rsidRPr="006D0608">
        <w:rPr>
          <w:sz w:val="24"/>
          <w:szCs w:val="24"/>
        </w:rPr>
        <w:t xml:space="preserve">revisions </w:t>
      </w:r>
      <w:r w:rsidRPr="006D0608">
        <w:rPr>
          <w:sz w:val="24"/>
          <w:szCs w:val="24"/>
        </w:rPr>
        <w:t xml:space="preserve">to </w:t>
      </w:r>
      <w:r w:rsidR="003A11A2" w:rsidRPr="006D0608">
        <w:rPr>
          <w:sz w:val="24"/>
          <w:szCs w:val="24"/>
        </w:rPr>
        <w:t xml:space="preserve">an </w:t>
      </w:r>
      <w:r w:rsidRPr="006D0608">
        <w:rPr>
          <w:sz w:val="24"/>
          <w:szCs w:val="24"/>
        </w:rPr>
        <w:t xml:space="preserve">investigational testing authorization (ITA).  Part 3 of </w:t>
      </w:r>
      <w:r w:rsidR="00185E76" w:rsidRPr="006D0608">
        <w:rPr>
          <w:sz w:val="24"/>
          <w:szCs w:val="24"/>
        </w:rPr>
        <w:t>the MDR</w:t>
      </w:r>
      <w:r w:rsidRPr="006D0608">
        <w:rPr>
          <w:sz w:val="24"/>
          <w:szCs w:val="24"/>
        </w:rPr>
        <w:t xml:space="preserve"> only outlines the requirements for a new ITA.  </w:t>
      </w:r>
      <w:r w:rsidR="003A11A2" w:rsidRPr="006D0608">
        <w:rPr>
          <w:sz w:val="24"/>
          <w:szCs w:val="24"/>
        </w:rPr>
        <w:t xml:space="preserve">As such, </w:t>
      </w:r>
      <w:r w:rsidR="00A16747" w:rsidRPr="006D0608">
        <w:rPr>
          <w:sz w:val="24"/>
          <w:szCs w:val="24"/>
        </w:rPr>
        <w:t xml:space="preserve">the Regulations require that </w:t>
      </w:r>
      <w:r w:rsidR="003A11A2" w:rsidRPr="006D0608">
        <w:rPr>
          <w:sz w:val="24"/>
          <w:szCs w:val="24"/>
        </w:rPr>
        <w:t xml:space="preserve">any changes </w:t>
      </w:r>
      <w:r w:rsidR="00A16747" w:rsidRPr="006D0608">
        <w:rPr>
          <w:sz w:val="24"/>
          <w:szCs w:val="24"/>
        </w:rPr>
        <w:t>must be submitted in a new ITA application.</w:t>
      </w:r>
    </w:p>
    <w:p w:rsidR="003A11A2" w:rsidRPr="006D0608" w:rsidRDefault="003A11A2" w:rsidP="00C31FA1">
      <w:pPr>
        <w:spacing w:after="0"/>
        <w:rPr>
          <w:sz w:val="24"/>
          <w:szCs w:val="24"/>
        </w:rPr>
      </w:pPr>
    </w:p>
    <w:p w:rsidR="00C31FA1" w:rsidRPr="006D0608" w:rsidRDefault="00A04B35" w:rsidP="00122F56">
      <w:pPr>
        <w:spacing w:after="0"/>
        <w:rPr>
          <w:sz w:val="24"/>
          <w:szCs w:val="24"/>
        </w:rPr>
      </w:pPr>
      <w:r w:rsidRPr="006D0608">
        <w:rPr>
          <w:sz w:val="24"/>
          <w:szCs w:val="24"/>
        </w:rPr>
        <w:t>A</w:t>
      </w:r>
      <w:r w:rsidR="00C31FA1" w:rsidRPr="006D0608">
        <w:rPr>
          <w:sz w:val="24"/>
          <w:szCs w:val="24"/>
        </w:rPr>
        <w:t xml:space="preserve"> policy approach </w:t>
      </w:r>
      <w:r w:rsidRPr="006D0608">
        <w:rPr>
          <w:sz w:val="24"/>
          <w:szCs w:val="24"/>
        </w:rPr>
        <w:t>was</w:t>
      </w:r>
      <w:r w:rsidR="00F1255A" w:rsidRPr="006D0608">
        <w:rPr>
          <w:sz w:val="24"/>
          <w:szCs w:val="24"/>
        </w:rPr>
        <w:t xml:space="preserve"> recently</w:t>
      </w:r>
      <w:r w:rsidR="00C31FA1" w:rsidRPr="006D0608">
        <w:rPr>
          <w:sz w:val="24"/>
          <w:szCs w:val="24"/>
        </w:rPr>
        <w:t xml:space="preserve"> implemented</w:t>
      </w:r>
      <w:r w:rsidRPr="006D0608">
        <w:rPr>
          <w:sz w:val="24"/>
          <w:szCs w:val="24"/>
        </w:rPr>
        <w:t xml:space="preserve"> in the </w:t>
      </w:r>
      <w:r w:rsidR="00F1255A" w:rsidRPr="006D0608">
        <w:rPr>
          <w:sz w:val="24"/>
          <w:szCs w:val="24"/>
        </w:rPr>
        <w:t xml:space="preserve">2018 </w:t>
      </w:r>
      <w:r w:rsidRPr="006D0608">
        <w:rPr>
          <w:sz w:val="24"/>
          <w:szCs w:val="24"/>
        </w:rPr>
        <w:t xml:space="preserve">guidance document, </w:t>
      </w:r>
      <w:r w:rsidRPr="006D0608">
        <w:rPr>
          <w:i/>
          <w:sz w:val="24"/>
          <w:szCs w:val="24"/>
        </w:rPr>
        <w:t>Applications for Medical Device Investigational Testing Authorizations,</w:t>
      </w:r>
      <w:r w:rsidR="00C31FA1" w:rsidRPr="006D0608">
        <w:rPr>
          <w:sz w:val="24"/>
          <w:szCs w:val="24"/>
        </w:rPr>
        <w:t xml:space="preserve"> </w:t>
      </w:r>
      <w:r w:rsidRPr="006D0608">
        <w:rPr>
          <w:sz w:val="24"/>
          <w:szCs w:val="24"/>
        </w:rPr>
        <w:t>to allow</w:t>
      </w:r>
      <w:r w:rsidR="00C31FA1" w:rsidRPr="006D0608">
        <w:rPr>
          <w:sz w:val="24"/>
          <w:szCs w:val="24"/>
        </w:rPr>
        <w:t xml:space="preserve"> manufacturers to submit revisions to previously authorized ITAs in</w:t>
      </w:r>
      <w:r w:rsidR="00F1255A" w:rsidRPr="006D0608">
        <w:rPr>
          <w:sz w:val="24"/>
          <w:szCs w:val="24"/>
        </w:rPr>
        <w:t xml:space="preserve"> an abbreviated manner. </w:t>
      </w:r>
      <w:r w:rsidR="00ED302C" w:rsidRPr="006D0608">
        <w:rPr>
          <w:sz w:val="24"/>
          <w:szCs w:val="24"/>
        </w:rPr>
        <w:t xml:space="preserve"> </w:t>
      </w:r>
      <w:r w:rsidR="00C31FA1" w:rsidRPr="006D0608">
        <w:rPr>
          <w:sz w:val="24"/>
          <w:szCs w:val="24"/>
        </w:rPr>
        <w:t xml:space="preserve">The </w:t>
      </w:r>
      <w:r w:rsidR="00F1255A" w:rsidRPr="006D0608">
        <w:rPr>
          <w:sz w:val="24"/>
          <w:szCs w:val="24"/>
        </w:rPr>
        <w:t>guidance document</w:t>
      </w:r>
      <w:r w:rsidR="00C31FA1" w:rsidRPr="006D0608">
        <w:rPr>
          <w:sz w:val="24"/>
          <w:szCs w:val="24"/>
        </w:rPr>
        <w:t xml:space="preserve"> provides examples of changes that require the submission of a revised ITA. The current interpretation of a significant change to an ITA pertains to revisions to clinical trial sites, investigators, the number of patients, the protocol, the informed consent form, and the device itself. </w:t>
      </w:r>
      <w:r w:rsidR="00ED302C" w:rsidRPr="006D0608">
        <w:rPr>
          <w:sz w:val="24"/>
          <w:szCs w:val="24"/>
        </w:rPr>
        <w:t xml:space="preserve">The guidance, however, does not provide a </w:t>
      </w:r>
      <w:r w:rsidR="008457C1" w:rsidRPr="006D0608">
        <w:rPr>
          <w:sz w:val="24"/>
          <w:szCs w:val="24"/>
        </w:rPr>
        <w:t xml:space="preserve">further </w:t>
      </w:r>
      <w:r w:rsidR="00ED302C" w:rsidRPr="006D0608">
        <w:rPr>
          <w:sz w:val="24"/>
          <w:szCs w:val="24"/>
        </w:rPr>
        <w:t xml:space="preserve">mechanism by which certain minor </w:t>
      </w:r>
      <w:r w:rsidR="00ED302C" w:rsidRPr="006D0608">
        <w:rPr>
          <w:sz w:val="24"/>
          <w:szCs w:val="24"/>
        </w:rPr>
        <w:lastRenderedPageBreak/>
        <w:t xml:space="preserve">changes could be submitted to Health Canada </w:t>
      </w:r>
      <w:r w:rsidR="002924D0" w:rsidRPr="006D0608">
        <w:rPr>
          <w:sz w:val="24"/>
          <w:szCs w:val="24"/>
        </w:rPr>
        <w:t>through a</w:t>
      </w:r>
      <w:r w:rsidR="00ED302C" w:rsidRPr="006D0608">
        <w:rPr>
          <w:sz w:val="24"/>
          <w:szCs w:val="24"/>
        </w:rPr>
        <w:t xml:space="preserve"> notification</w:t>
      </w:r>
      <w:r w:rsidR="002924D0" w:rsidRPr="006D0608">
        <w:rPr>
          <w:sz w:val="24"/>
          <w:szCs w:val="24"/>
        </w:rPr>
        <w:t xml:space="preserve"> </w:t>
      </w:r>
      <w:r w:rsidR="008457C1" w:rsidRPr="006D0608">
        <w:rPr>
          <w:sz w:val="24"/>
          <w:szCs w:val="24"/>
        </w:rPr>
        <w:t xml:space="preserve">process </w:t>
      </w:r>
      <w:r w:rsidR="002924D0" w:rsidRPr="006D0608">
        <w:rPr>
          <w:sz w:val="24"/>
          <w:szCs w:val="24"/>
        </w:rPr>
        <w:t>(which would not require authorization)</w:t>
      </w:r>
      <w:r w:rsidR="008457C1" w:rsidRPr="006D0608">
        <w:rPr>
          <w:sz w:val="24"/>
          <w:szCs w:val="24"/>
        </w:rPr>
        <w:t>.</w:t>
      </w:r>
    </w:p>
    <w:p w:rsidR="00B41162" w:rsidRPr="006D0608" w:rsidRDefault="00B41162" w:rsidP="00122F56">
      <w:pPr>
        <w:spacing w:after="0"/>
        <w:rPr>
          <w:sz w:val="24"/>
          <w:szCs w:val="24"/>
        </w:rPr>
      </w:pPr>
    </w:p>
    <w:p w:rsidR="00225773" w:rsidRPr="006D0608" w:rsidRDefault="00225773" w:rsidP="00122F56">
      <w:pPr>
        <w:spacing w:after="0"/>
        <w:rPr>
          <w:sz w:val="24"/>
          <w:szCs w:val="24"/>
        </w:rPr>
      </w:pPr>
      <w:r w:rsidRPr="006D0608">
        <w:rPr>
          <w:sz w:val="24"/>
          <w:szCs w:val="24"/>
        </w:rPr>
        <w:t>A provision to allow modifications and notifications of an ITA would better align the frameworks for Canada</w:t>
      </w:r>
      <w:r w:rsidR="00183071">
        <w:rPr>
          <w:sz w:val="24"/>
          <w:szCs w:val="24"/>
        </w:rPr>
        <w:t xml:space="preserve"> and its international partners, including the United States and the European Union.</w:t>
      </w:r>
    </w:p>
    <w:p w:rsidR="004C7EEA" w:rsidRPr="006D0608" w:rsidRDefault="004C7EEA" w:rsidP="004C7EEA">
      <w:pPr>
        <w:spacing w:after="0"/>
        <w:rPr>
          <w:sz w:val="24"/>
          <w:szCs w:val="24"/>
        </w:rPr>
      </w:pPr>
    </w:p>
    <w:tbl>
      <w:tblPr>
        <w:tblStyle w:val="TableGrid"/>
        <w:tblW w:w="0" w:type="auto"/>
        <w:tblInd w:w="108" w:type="dxa"/>
        <w:tblLook w:val="04A0" w:firstRow="1" w:lastRow="0" w:firstColumn="1" w:lastColumn="0" w:noHBand="0" w:noVBand="1"/>
      </w:tblPr>
      <w:tblGrid>
        <w:gridCol w:w="9214"/>
      </w:tblGrid>
      <w:tr w:rsidR="004C7EEA" w:rsidRPr="006D0608" w:rsidTr="00977AB8">
        <w:tc>
          <w:tcPr>
            <w:tcW w:w="9214" w:type="dxa"/>
          </w:tcPr>
          <w:p w:rsidR="004C7EEA" w:rsidRPr="006D0608" w:rsidRDefault="004C7EEA" w:rsidP="00977AB8">
            <w:pPr>
              <w:rPr>
                <w:b/>
                <w:sz w:val="24"/>
                <w:szCs w:val="24"/>
              </w:rPr>
            </w:pPr>
            <w:r w:rsidRPr="006D0608">
              <w:rPr>
                <w:b/>
                <w:sz w:val="24"/>
                <w:szCs w:val="24"/>
              </w:rPr>
              <w:t>QUESTIONS:</w:t>
            </w:r>
          </w:p>
          <w:p w:rsidR="004C7EEA" w:rsidRPr="006D0608" w:rsidRDefault="004C7EEA" w:rsidP="00977AB8">
            <w:pPr>
              <w:rPr>
                <w:b/>
                <w:sz w:val="24"/>
                <w:szCs w:val="24"/>
              </w:rPr>
            </w:pPr>
          </w:p>
          <w:p w:rsidR="00A16747" w:rsidRPr="006D0608" w:rsidRDefault="00A16747" w:rsidP="00977AB8">
            <w:pPr>
              <w:rPr>
                <w:sz w:val="24"/>
                <w:szCs w:val="24"/>
              </w:rPr>
            </w:pPr>
            <w:r w:rsidRPr="006D0608">
              <w:rPr>
                <w:sz w:val="24"/>
                <w:szCs w:val="24"/>
              </w:rPr>
              <w:t xml:space="preserve">a. </w:t>
            </w:r>
            <w:r w:rsidR="00AF2B7F" w:rsidRPr="006D0608">
              <w:rPr>
                <w:sz w:val="24"/>
                <w:szCs w:val="24"/>
              </w:rPr>
              <w:t>What has been your experience</w:t>
            </w:r>
            <w:r w:rsidRPr="006D0608">
              <w:rPr>
                <w:sz w:val="24"/>
                <w:szCs w:val="24"/>
              </w:rPr>
              <w:t xml:space="preserve"> with the policy approach to ITA revisions outlined in the 2018 guidance document</w:t>
            </w:r>
            <w:r w:rsidR="00185E76" w:rsidRPr="006D0608">
              <w:rPr>
                <w:sz w:val="24"/>
                <w:szCs w:val="24"/>
              </w:rPr>
              <w:t xml:space="preserve"> that allows</w:t>
            </w:r>
            <w:r w:rsidR="007F2EAE" w:rsidRPr="006D0608">
              <w:rPr>
                <w:sz w:val="24"/>
                <w:szCs w:val="24"/>
              </w:rPr>
              <w:t xml:space="preserve"> manufacturers to submit revisions to previously authorized ITAs in an abbreviated manner?</w:t>
            </w:r>
          </w:p>
          <w:p w:rsidR="00A16747" w:rsidRPr="006D0608" w:rsidRDefault="00A16747" w:rsidP="00977AB8">
            <w:pPr>
              <w:rPr>
                <w:sz w:val="24"/>
                <w:szCs w:val="24"/>
              </w:rPr>
            </w:pPr>
          </w:p>
          <w:p w:rsidR="004C7EEA" w:rsidRPr="00D402D6" w:rsidRDefault="00AF2B7F" w:rsidP="00977AB8">
            <w:r w:rsidRPr="006D0608">
              <w:rPr>
                <w:sz w:val="24"/>
                <w:szCs w:val="24"/>
              </w:rPr>
              <w:t>b</w:t>
            </w:r>
            <w:r w:rsidR="00D402D6">
              <w:rPr>
                <w:sz w:val="24"/>
                <w:szCs w:val="24"/>
              </w:rPr>
              <w:t xml:space="preserve">. </w:t>
            </w:r>
            <w:r w:rsidR="007F2EAE" w:rsidRPr="006D0608">
              <w:rPr>
                <w:sz w:val="24"/>
                <w:szCs w:val="24"/>
              </w:rPr>
              <w:t xml:space="preserve">Is there a need to </w:t>
            </w:r>
            <w:r w:rsidR="00C66F6D" w:rsidRPr="006D0608">
              <w:rPr>
                <w:sz w:val="24"/>
                <w:szCs w:val="24"/>
              </w:rPr>
              <w:t>create a pathway</w:t>
            </w:r>
            <w:r w:rsidR="007F2EAE" w:rsidRPr="006D0608">
              <w:rPr>
                <w:sz w:val="24"/>
                <w:szCs w:val="24"/>
              </w:rPr>
              <w:t xml:space="preserve"> that allows manufacturers to simply notify Health Canada of minor changes to an ITA? If so, what changes do you think should fall under this category? Please explain.</w:t>
            </w:r>
          </w:p>
        </w:tc>
      </w:tr>
    </w:tbl>
    <w:p w:rsidR="004C7EEA" w:rsidRPr="006D0608" w:rsidRDefault="004C7EEA" w:rsidP="004C7EEA">
      <w:pPr>
        <w:spacing w:after="0"/>
        <w:rPr>
          <w:sz w:val="24"/>
          <w:szCs w:val="24"/>
        </w:rPr>
      </w:pPr>
    </w:p>
    <w:p w:rsidR="00271470" w:rsidRPr="006D0608" w:rsidRDefault="00E057EA" w:rsidP="006D0608">
      <w:pPr>
        <w:rPr>
          <w:b/>
          <w:sz w:val="24"/>
          <w:szCs w:val="24"/>
        </w:rPr>
      </w:pPr>
      <w:r w:rsidRPr="006D0608">
        <w:rPr>
          <w:b/>
          <w:sz w:val="24"/>
          <w:szCs w:val="24"/>
        </w:rPr>
        <w:t>3</w:t>
      </w:r>
      <w:r w:rsidR="00A11588" w:rsidRPr="006D0608">
        <w:rPr>
          <w:b/>
          <w:sz w:val="24"/>
          <w:szCs w:val="24"/>
        </w:rPr>
        <w:t xml:space="preserve">. </w:t>
      </w:r>
      <w:r w:rsidR="009077D6" w:rsidRPr="006D0608">
        <w:rPr>
          <w:b/>
          <w:sz w:val="24"/>
          <w:szCs w:val="24"/>
        </w:rPr>
        <w:t xml:space="preserve">Research Ethics Board </w:t>
      </w:r>
      <w:r w:rsidR="00486652">
        <w:rPr>
          <w:b/>
          <w:sz w:val="24"/>
          <w:szCs w:val="24"/>
        </w:rPr>
        <w:t xml:space="preserve">(REB) </w:t>
      </w:r>
      <w:r w:rsidR="00271470" w:rsidRPr="006D0608">
        <w:rPr>
          <w:b/>
          <w:sz w:val="24"/>
          <w:szCs w:val="24"/>
        </w:rPr>
        <w:t>approval</w:t>
      </w:r>
      <w:r w:rsidR="00185E76" w:rsidRPr="006D0608">
        <w:rPr>
          <w:b/>
          <w:sz w:val="24"/>
          <w:szCs w:val="24"/>
        </w:rPr>
        <w:t xml:space="preserve"> of investigational test</w:t>
      </w:r>
      <w:r w:rsidR="007F2EAE" w:rsidRPr="006D0608">
        <w:rPr>
          <w:b/>
          <w:sz w:val="24"/>
          <w:szCs w:val="24"/>
        </w:rPr>
        <w:t>ing</w:t>
      </w:r>
      <w:r w:rsidR="009077D6" w:rsidRPr="006D0608">
        <w:rPr>
          <w:b/>
          <w:sz w:val="24"/>
          <w:szCs w:val="24"/>
        </w:rPr>
        <w:t xml:space="preserve"> </w:t>
      </w:r>
      <w:r w:rsidR="00486652">
        <w:rPr>
          <w:b/>
          <w:sz w:val="24"/>
          <w:szCs w:val="24"/>
        </w:rPr>
        <w:t xml:space="preserve">of </w:t>
      </w:r>
      <w:r w:rsidR="009077D6" w:rsidRPr="006D0608">
        <w:rPr>
          <w:b/>
          <w:sz w:val="24"/>
          <w:szCs w:val="24"/>
        </w:rPr>
        <w:t>Class III and IV devices</w:t>
      </w:r>
    </w:p>
    <w:p w:rsidR="00DF46EB" w:rsidRPr="006D0608" w:rsidRDefault="00D7410C" w:rsidP="00DF46EB">
      <w:pPr>
        <w:spacing w:after="0"/>
        <w:rPr>
          <w:sz w:val="24"/>
          <w:szCs w:val="24"/>
        </w:rPr>
      </w:pPr>
      <w:r w:rsidRPr="006D0608">
        <w:rPr>
          <w:sz w:val="24"/>
          <w:szCs w:val="24"/>
        </w:rPr>
        <w:t xml:space="preserve">The </w:t>
      </w:r>
      <w:r w:rsidR="00185E76" w:rsidRPr="006D0608">
        <w:rPr>
          <w:sz w:val="24"/>
          <w:szCs w:val="24"/>
        </w:rPr>
        <w:t>MDR</w:t>
      </w:r>
      <w:r w:rsidRPr="006D0608">
        <w:rPr>
          <w:sz w:val="24"/>
          <w:szCs w:val="24"/>
        </w:rPr>
        <w:t xml:space="preserve"> requires REB approval prior to issuance of an ITA involving Class III and IV medical devices</w:t>
      </w:r>
      <w:r w:rsidR="00DF46EB" w:rsidRPr="006D0608">
        <w:rPr>
          <w:sz w:val="24"/>
          <w:szCs w:val="24"/>
        </w:rPr>
        <w:t>.</w:t>
      </w:r>
      <w:r w:rsidR="009077D6" w:rsidRPr="006D0608">
        <w:rPr>
          <w:rStyle w:val="FootnoteReference"/>
          <w:sz w:val="24"/>
          <w:szCs w:val="24"/>
        </w:rPr>
        <w:footnoteReference w:id="1"/>
      </w:r>
      <w:r w:rsidR="00DF46EB" w:rsidRPr="006D0608">
        <w:rPr>
          <w:sz w:val="24"/>
          <w:szCs w:val="24"/>
        </w:rPr>
        <w:t xml:space="preserve"> However,</w:t>
      </w:r>
      <w:r w:rsidR="00856F72" w:rsidRPr="006D0608">
        <w:rPr>
          <w:sz w:val="24"/>
          <w:szCs w:val="24"/>
        </w:rPr>
        <w:t xml:space="preserve"> recent changes</w:t>
      </w:r>
      <w:r w:rsidR="001925CA" w:rsidRPr="006D0608">
        <w:rPr>
          <w:sz w:val="24"/>
          <w:szCs w:val="24"/>
        </w:rPr>
        <w:t xml:space="preserve"> </w:t>
      </w:r>
      <w:r w:rsidR="00856F72" w:rsidRPr="006D0608">
        <w:rPr>
          <w:sz w:val="24"/>
          <w:szCs w:val="24"/>
        </w:rPr>
        <w:t xml:space="preserve">to the </w:t>
      </w:r>
      <w:r w:rsidR="00DF46EB" w:rsidRPr="006D0608">
        <w:rPr>
          <w:i/>
          <w:sz w:val="24"/>
          <w:szCs w:val="24"/>
        </w:rPr>
        <w:t>Guidance Document: Applications for Medical Device Investigational Testing Authorizations</w:t>
      </w:r>
      <w:r w:rsidR="00DF46EB" w:rsidRPr="006D0608">
        <w:rPr>
          <w:sz w:val="24"/>
          <w:szCs w:val="24"/>
        </w:rPr>
        <w:t xml:space="preserve"> </w:t>
      </w:r>
      <w:r w:rsidR="00856F72" w:rsidRPr="006D0608">
        <w:rPr>
          <w:sz w:val="24"/>
          <w:szCs w:val="24"/>
        </w:rPr>
        <w:t xml:space="preserve">allow </w:t>
      </w:r>
      <w:r w:rsidR="00DF46EB" w:rsidRPr="006D0608">
        <w:rPr>
          <w:sz w:val="24"/>
          <w:szCs w:val="24"/>
        </w:rPr>
        <w:t xml:space="preserve">for </w:t>
      </w:r>
      <w:r w:rsidR="00856F72" w:rsidRPr="006D0608">
        <w:rPr>
          <w:sz w:val="24"/>
          <w:szCs w:val="24"/>
        </w:rPr>
        <w:t xml:space="preserve">an </w:t>
      </w:r>
      <w:r w:rsidR="00DF46EB" w:rsidRPr="006D0608">
        <w:rPr>
          <w:sz w:val="24"/>
          <w:szCs w:val="24"/>
        </w:rPr>
        <w:t>authoriz</w:t>
      </w:r>
      <w:r w:rsidR="00856F72" w:rsidRPr="006D0608">
        <w:rPr>
          <w:sz w:val="24"/>
          <w:szCs w:val="24"/>
        </w:rPr>
        <w:t xml:space="preserve">ation </w:t>
      </w:r>
      <w:r w:rsidR="00DF46EB" w:rsidRPr="006D0608">
        <w:rPr>
          <w:sz w:val="24"/>
          <w:szCs w:val="24"/>
        </w:rPr>
        <w:t xml:space="preserve">letter </w:t>
      </w:r>
      <w:r w:rsidR="00856F72" w:rsidRPr="006D0608">
        <w:rPr>
          <w:sz w:val="24"/>
          <w:szCs w:val="24"/>
        </w:rPr>
        <w:t xml:space="preserve">to be issued prior to the receipt of REB approval, provided that this </w:t>
      </w:r>
      <w:r w:rsidR="00DF46EB" w:rsidRPr="006D0608">
        <w:rPr>
          <w:sz w:val="24"/>
          <w:szCs w:val="24"/>
        </w:rPr>
        <w:t xml:space="preserve">approval </w:t>
      </w:r>
      <w:r w:rsidR="00856F72" w:rsidRPr="006D0608">
        <w:rPr>
          <w:sz w:val="24"/>
          <w:szCs w:val="24"/>
        </w:rPr>
        <w:t xml:space="preserve">is </w:t>
      </w:r>
      <w:r w:rsidR="00DF46EB" w:rsidRPr="006D0608">
        <w:rPr>
          <w:sz w:val="24"/>
          <w:szCs w:val="24"/>
        </w:rPr>
        <w:t xml:space="preserve">provided to Health Canada </w:t>
      </w:r>
      <w:r w:rsidR="00856F72" w:rsidRPr="006D0608">
        <w:rPr>
          <w:sz w:val="24"/>
          <w:szCs w:val="24"/>
          <w:u w:val="single"/>
        </w:rPr>
        <w:t>before the study is initiated</w:t>
      </w:r>
      <w:r w:rsidR="00856F72" w:rsidRPr="006D0608">
        <w:rPr>
          <w:sz w:val="24"/>
          <w:szCs w:val="24"/>
        </w:rPr>
        <w:t>.</w:t>
      </w:r>
    </w:p>
    <w:p w:rsidR="001925CA" w:rsidRPr="006D0608" w:rsidRDefault="001925CA" w:rsidP="00DF46EB">
      <w:pPr>
        <w:spacing w:after="0"/>
        <w:rPr>
          <w:sz w:val="24"/>
          <w:szCs w:val="24"/>
        </w:rPr>
      </w:pPr>
    </w:p>
    <w:p w:rsidR="00DF46EB" w:rsidRPr="006D0608" w:rsidRDefault="00225773" w:rsidP="00DF46EB">
      <w:pPr>
        <w:spacing w:after="0"/>
        <w:rPr>
          <w:sz w:val="24"/>
          <w:szCs w:val="24"/>
        </w:rPr>
      </w:pPr>
      <w:r w:rsidRPr="006D0608">
        <w:rPr>
          <w:sz w:val="24"/>
          <w:szCs w:val="24"/>
        </w:rPr>
        <w:t>Allowing regulatory approvals and ethics approvals to be done in parallel, rather than sequentially, would bring Canada in line with its international partners (United States and the European Union).</w:t>
      </w:r>
    </w:p>
    <w:p w:rsidR="00225773" w:rsidRPr="006D0608" w:rsidRDefault="00225773" w:rsidP="00DF46EB">
      <w:pPr>
        <w:spacing w:after="0"/>
        <w:rPr>
          <w:strike/>
          <w:sz w:val="24"/>
          <w:szCs w:val="24"/>
        </w:rPr>
      </w:pPr>
    </w:p>
    <w:tbl>
      <w:tblPr>
        <w:tblStyle w:val="TableGrid"/>
        <w:tblW w:w="0" w:type="auto"/>
        <w:tblInd w:w="108" w:type="dxa"/>
        <w:tblLook w:val="04A0" w:firstRow="1" w:lastRow="0" w:firstColumn="1" w:lastColumn="0" w:noHBand="0" w:noVBand="1"/>
      </w:tblPr>
      <w:tblGrid>
        <w:gridCol w:w="9242"/>
      </w:tblGrid>
      <w:tr w:rsidR="00D7410C" w:rsidRPr="006D0608" w:rsidTr="00D7410C">
        <w:tc>
          <w:tcPr>
            <w:tcW w:w="9468" w:type="dxa"/>
          </w:tcPr>
          <w:p w:rsidR="00D7410C" w:rsidRPr="006D0608" w:rsidRDefault="00D7410C" w:rsidP="00D7410C">
            <w:pPr>
              <w:rPr>
                <w:b/>
                <w:sz w:val="24"/>
                <w:szCs w:val="24"/>
              </w:rPr>
            </w:pPr>
            <w:r w:rsidRPr="006D0608">
              <w:rPr>
                <w:b/>
                <w:sz w:val="24"/>
                <w:szCs w:val="24"/>
              </w:rPr>
              <w:t>QUESTIONS:</w:t>
            </w:r>
          </w:p>
          <w:p w:rsidR="00D7410C" w:rsidRPr="006D0608" w:rsidRDefault="00D7410C" w:rsidP="00D7410C">
            <w:pPr>
              <w:rPr>
                <w:sz w:val="24"/>
                <w:szCs w:val="24"/>
              </w:rPr>
            </w:pPr>
          </w:p>
          <w:p w:rsidR="00122F56" w:rsidRPr="006D0608" w:rsidRDefault="00122F56" w:rsidP="00E04A43">
            <w:pPr>
              <w:spacing w:line="276" w:lineRule="auto"/>
              <w:rPr>
                <w:sz w:val="24"/>
                <w:szCs w:val="24"/>
              </w:rPr>
            </w:pPr>
            <w:r w:rsidRPr="006D0608">
              <w:rPr>
                <w:sz w:val="24"/>
                <w:szCs w:val="24"/>
              </w:rPr>
              <w:t xml:space="preserve">a. </w:t>
            </w:r>
            <w:r w:rsidR="00AF2B7F" w:rsidRPr="006D0608">
              <w:rPr>
                <w:sz w:val="24"/>
                <w:szCs w:val="24"/>
              </w:rPr>
              <w:t>What has been your experience with the</w:t>
            </w:r>
            <w:r w:rsidRPr="006D0608">
              <w:rPr>
                <w:sz w:val="24"/>
                <w:szCs w:val="24"/>
              </w:rPr>
              <w:t xml:space="preserve"> policy approach outlined in the 2018 guidance document that allows issuance of an ITA prior to REB approval?</w:t>
            </w:r>
          </w:p>
          <w:p w:rsidR="00122F56" w:rsidRPr="006D0608" w:rsidRDefault="00122F56" w:rsidP="00E04A43">
            <w:pPr>
              <w:spacing w:line="276" w:lineRule="auto"/>
              <w:rPr>
                <w:sz w:val="24"/>
                <w:szCs w:val="24"/>
              </w:rPr>
            </w:pPr>
          </w:p>
          <w:p w:rsidR="00D7410C" w:rsidRPr="00D402D6" w:rsidRDefault="00AF2B7F" w:rsidP="00D402D6">
            <w:pPr>
              <w:spacing w:line="276" w:lineRule="auto"/>
              <w:rPr>
                <w:sz w:val="24"/>
                <w:szCs w:val="24"/>
              </w:rPr>
            </w:pPr>
            <w:r w:rsidRPr="006D0608">
              <w:rPr>
                <w:sz w:val="24"/>
                <w:szCs w:val="24"/>
              </w:rPr>
              <w:t>b</w:t>
            </w:r>
            <w:r w:rsidR="00122F56" w:rsidRPr="006D0608">
              <w:rPr>
                <w:sz w:val="24"/>
                <w:szCs w:val="24"/>
              </w:rPr>
              <w:t>. Would it be helpful to have a notification process (with no requirement for authorization) to address minor changes to an ITA resulting from REB approval?</w:t>
            </w:r>
          </w:p>
        </w:tc>
      </w:tr>
    </w:tbl>
    <w:p w:rsidR="00301C27" w:rsidRPr="006D0608" w:rsidRDefault="00301C27" w:rsidP="00EA4390">
      <w:pPr>
        <w:rPr>
          <w:b/>
          <w:sz w:val="24"/>
          <w:szCs w:val="24"/>
        </w:rPr>
      </w:pPr>
      <w:r w:rsidRPr="006D0608">
        <w:rPr>
          <w:b/>
          <w:sz w:val="24"/>
          <w:szCs w:val="24"/>
        </w:rPr>
        <w:lastRenderedPageBreak/>
        <w:t>4. Inclusion of G</w:t>
      </w:r>
      <w:r w:rsidR="00341F42" w:rsidRPr="006D0608">
        <w:rPr>
          <w:b/>
          <w:sz w:val="24"/>
          <w:szCs w:val="24"/>
        </w:rPr>
        <w:t>ood Clinical Practice</w:t>
      </w:r>
      <w:r w:rsidR="00185E76" w:rsidRPr="006D0608">
        <w:rPr>
          <w:b/>
          <w:sz w:val="24"/>
          <w:szCs w:val="24"/>
        </w:rPr>
        <w:t xml:space="preserve"> (GCP)</w:t>
      </w:r>
      <w:r w:rsidR="00341F42" w:rsidRPr="006D0608">
        <w:rPr>
          <w:b/>
          <w:sz w:val="24"/>
          <w:szCs w:val="24"/>
        </w:rPr>
        <w:t xml:space="preserve"> </w:t>
      </w:r>
      <w:r w:rsidRPr="006D0608">
        <w:rPr>
          <w:b/>
          <w:sz w:val="24"/>
          <w:szCs w:val="24"/>
        </w:rPr>
        <w:t>standard in regulations</w:t>
      </w:r>
    </w:p>
    <w:p w:rsidR="0023033E" w:rsidRDefault="0023033E" w:rsidP="0023033E">
      <w:pPr>
        <w:spacing w:after="0"/>
        <w:rPr>
          <w:sz w:val="24"/>
          <w:szCs w:val="24"/>
        </w:rPr>
      </w:pPr>
      <w:r w:rsidRPr="006D0608">
        <w:rPr>
          <w:sz w:val="24"/>
          <w:szCs w:val="24"/>
        </w:rPr>
        <w:t xml:space="preserve">It is internationally </w:t>
      </w:r>
      <w:r>
        <w:rPr>
          <w:sz w:val="24"/>
          <w:szCs w:val="24"/>
        </w:rPr>
        <w:t xml:space="preserve">recognized </w:t>
      </w:r>
      <w:r w:rsidRPr="006D0608">
        <w:rPr>
          <w:sz w:val="24"/>
          <w:szCs w:val="24"/>
        </w:rPr>
        <w:t>that research in humans should be conducted according to generally accepted principles of GCP</w:t>
      </w:r>
      <w:r w:rsidR="004D334D">
        <w:rPr>
          <w:sz w:val="24"/>
          <w:szCs w:val="24"/>
        </w:rPr>
        <w:t>,</w:t>
      </w:r>
      <w:r w:rsidRPr="006D0608">
        <w:rPr>
          <w:sz w:val="24"/>
          <w:szCs w:val="24"/>
        </w:rPr>
        <w:t xml:space="preserve"> </w:t>
      </w:r>
      <w:r w:rsidR="004D334D">
        <w:rPr>
          <w:sz w:val="24"/>
          <w:szCs w:val="24"/>
        </w:rPr>
        <w:t xml:space="preserve">as stated in the </w:t>
      </w:r>
      <w:r w:rsidRPr="0023033E">
        <w:rPr>
          <w:sz w:val="24"/>
          <w:szCs w:val="24"/>
        </w:rPr>
        <w:t>ISO 14155</w:t>
      </w:r>
      <w:r w:rsidR="004D334D">
        <w:rPr>
          <w:sz w:val="24"/>
          <w:szCs w:val="24"/>
        </w:rPr>
        <w:t xml:space="preserve"> standard - </w:t>
      </w:r>
      <w:r w:rsidRPr="0023033E">
        <w:rPr>
          <w:i/>
          <w:sz w:val="24"/>
          <w:szCs w:val="24"/>
        </w:rPr>
        <w:t>Clinical investigation of medical devices for human subjects</w:t>
      </w:r>
      <w:r>
        <w:rPr>
          <w:sz w:val="24"/>
          <w:szCs w:val="24"/>
        </w:rPr>
        <w:t xml:space="preserve">. </w:t>
      </w:r>
      <w:r w:rsidRPr="006D0608">
        <w:rPr>
          <w:sz w:val="24"/>
          <w:szCs w:val="24"/>
        </w:rPr>
        <w:t>These clinical practices provide assurance that the data and reported results are credible and accurate, and that the rights, integrity, and privacy of research subjects are protected.</w:t>
      </w:r>
    </w:p>
    <w:p w:rsidR="0023033E" w:rsidRPr="006D0608" w:rsidRDefault="0023033E" w:rsidP="0023033E">
      <w:pPr>
        <w:spacing w:after="0"/>
        <w:rPr>
          <w:sz w:val="24"/>
          <w:szCs w:val="24"/>
        </w:rPr>
      </w:pPr>
    </w:p>
    <w:p w:rsidR="00D214AD" w:rsidRPr="006D0608" w:rsidRDefault="00D214AD" w:rsidP="00D214AD">
      <w:pPr>
        <w:spacing w:after="0"/>
        <w:rPr>
          <w:sz w:val="24"/>
          <w:szCs w:val="24"/>
        </w:rPr>
      </w:pPr>
      <w:r w:rsidRPr="006D0608">
        <w:rPr>
          <w:sz w:val="24"/>
          <w:szCs w:val="24"/>
        </w:rPr>
        <w:t xml:space="preserve">The MDR do not currently set out GCP </w:t>
      </w:r>
      <w:r w:rsidR="0023033E">
        <w:rPr>
          <w:sz w:val="24"/>
          <w:szCs w:val="24"/>
        </w:rPr>
        <w:t xml:space="preserve">standards </w:t>
      </w:r>
      <w:r w:rsidRPr="006D0608">
        <w:rPr>
          <w:sz w:val="24"/>
          <w:szCs w:val="24"/>
        </w:rPr>
        <w:t xml:space="preserve">to strengthen patient protection during investigational studies. </w:t>
      </w:r>
      <w:r w:rsidR="0007301E">
        <w:rPr>
          <w:sz w:val="24"/>
          <w:szCs w:val="24"/>
        </w:rPr>
        <w:t>However, t</w:t>
      </w:r>
      <w:r w:rsidRPr="006D0608">
        <w:rPr>
          <w:sz w:val="24"/>
          <w:szCs w:val="24"/>
        </w:rPr>
        <w:t xml:space="preserve">he </w:t>
      </w:r>
      <w:r w:rsidRPr="006D0608">
        <w:rPr>
          <w:i/>
          <w:sz w:val="24"/>
          <w:szCs w:val="24"/>
        </w:rPr>
        <w:t>Guidance Document: Applications for Medical Device Investigational Testing Authorizations</w:t>
      </w:r>
      <w:r w:rsidRPr="006D0608">
        <w:rPr>
          <w:sz w:val="24"/>
          <w:szCs w:val="24"/>
        </w:rPr>
        <w:t xml:space="preserve"> recommends that manufacturers conform to </w:t>
      </w:r>
      <w:r w:rsidR="004D334D">
        <w:rPr>
          <w:sz w:val="24"/>
          <w:szCs w:val="24"/>
        </w:rPr>
        <w:t xml:space="preserve">the </w:t>
      </w:r>
      <w:r w:rsidRPr="006D0608">
        <w:rPr>
          <w:sz w:val="24"/>
          <w:szCs w:val="24"/>
        </w:rPr>
        <w:t>GCP</w:t>
      </w:r>
      <w:r w:rsidR="004D334D">
        <w:rPr>
          <w:sz w:val="24"/>
          <w:szCs w:val="24"/>
        </w:rPr>
        <w:t xml:space="preserve"> standard of ISO 14155</w:t>
      </w:r>
      <w:r w:rsidRPr="006D0608">
        <w:rPr>
          <w:sz w:val="24"/>
          <w:szCs w:val="24"/>
        </w:rPr>
        <w:t>.</w:t>
      </w:r>
    </w:p>
    <w:p w:rsidR="00225773" w:rsidRPr="006D0608" w:rsidRDefault="00225773" w:rsidP="00D214AD">
      <w:pPr>
        <w:spacing w:after="0"/>
        <w:rPr>
          <w:sz w:val="24"/>
          <w:szCs w:val="24"/>
        </w:rPr>
      </w:pPr>
    </w:p>
    <w:p w:rsidR="00D214AD" w:rsidRPr="006D0608" w:rsidRDefault="00351AC8" w:rsidP="00D214AD">
      <w:pPr>
        <w:spacing w:after="0"/>
        <w:rPr>
          <w:sz w:val="24"/>
          <w:szCs w:val="24"/>
        </w:rPr>
      </w:pPr>
      <w:r>
        <w:rPr>
          <w:sz w:val="24"/>
          <w:szCs w:val="24"/>
        </w:rPr>
        <w:t xml:space="preserve">Inclusion of </w:t>
      </w:r>
      <w:r w:rsidR="004D334D">
        <w:rPr>
          <w:sz w:val="24"/>
          <w:szCs w:val="24"/>
        </w:rPr>
        <w:t xml:space="preserve">this </w:t>
      </w:r>
      <w:r w:rsidR="00225773" w:rsidRPr="006D0608">
        <w:rPr>
          <w:sz w:val="24"/>
          <w:szCs w:val="24"/>
        </w:rPr>
        <w:t>GCP standard in regulation would better align Canada with its international partners</w:t>
      </w:r>
      <w:r>
        <w:rPr>
          <w:sz w:val="24"/>
          <w:szCs w:val="24"/>
        </w:rPr>
        <w:t xml:space="preserve">. The </w:t>
      </w:r>
      <w:r w:rsidR="00486652">
        <w:rPr>
          <w:sz w:val="24"/>
          <w:szCs w:val="24"/>
        </w:rPr>
        <w:t xml:space="preserve">United States </w:t>
      </w:r>
      <w:r>
        <w:rPr>
          <w:sz w:val="24"/>
          <w:szCs w:val="24"/>
        </w:rPr>
        <w:t>and the European Union regulatory authorities both have GCP requirements for medical device investigational testing.</w:t>
      </w:r>
    </w:p>
    <w:p w:rsidR="002E762B" w:rsidRPr="006D0608" w:rsidRDefault="002E762B" w:rsidP="00341F42">
      <w:pPr>
        <w:spacing w:after="0"/>
        <w:rPr>
          <w:sz w:val="24"/>
          <w:szCs w:val="24"/>
        </w:rPr>
      </w:pPr>
    </w:p>
    <w:tbl>
      <w:tblPr>
        <w:tblStyle w:val="TableGrid"/>
        <w:tblW w:w="0" w:type="auto"/>
        <w:tblInd w:w="108" w:type="dxa"/>
        <w:tblLook w:val="04A0" w:firstRow="1" w:lastRow="0" w:firstColumn="1" w:lastColumn="0" w:noHBand="0" w:noVBand="1"/>
      </w:tblPr>
      <w:tblGrid>
        <w:gridCol w:w="9214"/>
      </w:tblGrid>
      <w:tr w:rsidR="00341F42" w:rsidRPr="006D0608" w:rsidTr="002E762B">
        <w:tc>
          <w:tcPr>
            <w:tcW w:w="9214" w:type="dxa"/>
          </w:tcPr>
          <w:p w:rsidR="00341F42" w:rsidRPr="006D0608" w:rsidRDefault="00341F42" w:rsidP="00341F42">
            <w:pPr>
              <w:rPr>
                <w:b/>
                <w:sz w:val="24"/>
                <w:szCs w:val="24"/>
              </w:rPr>
            </w:pPr>
            <w:r w:rsidRPr="006D0608">
              <w:rPr>
                <w:b/>
                <w:sz w:val="24"/>
                <w:szCs w:val="24"/>
              </w:rPr>
              <w:t>QUESTIONS:</w:t>
            </w:r>
          </w:p>
          <w:p w:rsidR="00341F42" w:rsidRPr="006D0608" w:rsidRDefault="00341F42" w:rsidP="00341F42">
            <w:pPr>
              <w:rPr>
                <w:sz w:val="24"/>
                <w:szCs w:val="24"/>
              </w:rPr>
            </w:pPr>
          </w:p>
          <w:p w:rsidR="00D402D6" w:rsidRDefault="00185E76" w:rsidP="00341F42">
            <w:pPr>
              <w:rPr>
                <w:sz w:val="24"/>
                <w:szCs w:val="24"/>
              </w:rPr>
            </w:pPr>
            <w:r w:rsidRPr="006D0608">
              <w:rPr>
                <w:sz w:val="24"/>
                <w:szCs w:val="24"/>
              </w:rPr>
              <w:t xml:space="preserve">Is there a need </w:t>
            </w:r>
            <w:r w:rsidR="00722AD0" w:rsidRPr="006D0608">
              <w:rPr>
                <w:sz w:val="24"/>
                <w:szCs w:val="24"/>
              </w:rPr>
              <w:t>to</w:t>
            </w:r>
            <w:r w:rsidRPr="006D0608">
              <w:rPr>
                <w:sz w:val="24"/>
                <w:szCs w:val="24"/>
              </w:rPr>
              <w:t xml:space="preserve"> </w:t>
            </w:r>
            <w:r w:rsidR="005001F3" w:rsidRPr="006D0608">
              <w:rPr>
                <w:sz w:val="24"/>
                <w:szCs w:val="24"/>
              </w:rPr>
              <w:t xml:space="preserve">require compliance </w:t>
            </w:r>
            <w:r w:rsidR="00341F42" w:rsidRPr="006D0608">
              <w:rPr>
                <w:sz w:val="24"/>
                <w:szCs w:val="24"/>
              </w:rPr>
              <w:t xml:space="preserve">with the ISO standard on </w:t>
            </w:r>
            <w:r w:rsidR="00341F42" w:rsidRPr="006D0608">
              <w:rPr>
                <w:i/>
                <w:sz w:val="24"/>
                <w:szCs w:val="24"/>
              </w:rPr>
              <w:t>Clinical investigation of medical devices for human subjects - Good clinical practice</w:t>
            </w:r>
            <w:r w:rsidR="00341F42" w:rsidRPr="006D0608">
              <w:rPr>
                <w:sz w:val="24"/>
                <w:szCs w:val="24"/>
              </w:rPr>
              <w:t xml:space="preserve"> (ISO 14155)?</w:t>
            </w:r>
            <w:r w:rsidRPr="006D0608">
              <w:rPr>
                <w:sz w:val="24"/>
                <w:szCs w:val="24"/>
              </w:rPr>
              <w:t xml:space="preserve">  Please explain.</w:t>
            </w:r>
          </w:p>
          <w:p w:rsidR="00D402D6" w:rsidRPr="006D0608" w:rsidRDefault="00D402D6" w:rsidP="00341F42">
            <w:pPr>
              <w:rPr>
                <w:sz w:val="24"/>
                <w:szCs w:val="24"/>
              </w:rPr>
            </w:pPr>
          </w:p>
        </w:tc>
      </w:tr>
    </w:tbl>
    <w:p w:rsidR="00DF46EB" w:rsidRPr="006D0608" w:rsidRDefault="00DF46EB" w:rsidP="00DF46EB">
      <w:pPr>
        <w:spacing w:after="0"/>
        <w:rPr>
          <w:sz w:val="24"/>
          <w:szCs w:val="24"/>
        </w:rPr>
      </w:pPr>
    </w:p>
    <w:p w:rsidR="006F66DE" w:rsidRPr="006D0608" w:rsidRDefault="006F66DE" w:rsidP="00EA4390">
      <w:pPr>
        <w:rPr>
          <w:b/>
          <w:sz w:val="24"/>
          <w:szCs w:val="24"/>
        </w:rPr>
      </w:pPr>
      <w:r w:rsidRPr="006D0608">
        <w:rPr>
          <w:b/>
          <w:sz w:val="24"/>
          <w:szCs w:val="24"/>
        </w:rPr>
        <w:t xml:space="preserve">5. Exemption of certain </w:t>
      </w:r>
      <w:r w:rsidR="000656DA" w:rsidRPr="006D0608">
        <w:rPr>
          <w:b/>
          <w:sz w:val="24"/>
          <w:szCs w:val="24"/>
        </w:rPr>
        <w:t>‘</w:t>
      </w:r>
      <w:r w:rsidRPr="006D0608">
        <w:rPr>
          <w:b/>
          <w:sz w:val="24"/>
          <w:szCs w:val="24"/>
        </w:rPr>
        <w:t>research use only</w:t>
      </w:r>
      <w:r w:rsidR="000656DA" w:rsidRPr="006D0608">
        <w:rPr>
          <w:b/>
          <w:sz w:val="24"/>
          <w:szCs w:val="24"/>
        </w:rPr>
        <w:t>’</w:t>
      </w:r>
      <w:r w:rsidRPr="006D0608">
        <w:rPr>
          <w:b/>
          <w:sz w:val="24"/>
          <w:szCs w:val="24"/>
        </w:rPr>
        <w:t xml:space="preserve"> devices from the ITA requirements</w:t>
      </w:r>
    </w:p>
    <w:p w:rsidR="008A7C61" w:rsidRDefault="008A7C61" w:rsidP="008A7C61">
      <w:pPr>
        <w:spacing w:after="0"/>
        <w:rPr>
          <w:sz w:val="24"/>
          <w:szCs w:val="24"/>
        </w:rPr>
      </w:pPr>
      <w:r w:rsidRPr="006D0608">
        <w:rPr>
          <w:sz w:val="24"/>
          <w:szCs w:val="24"/>
        </w:rPr>
        <w:t>“Research use only” devices typically do not involve patients and therefore present no risk to patient safety (e.g., studies involving validation of in-vitro devices using remnant samples).  For this reason, the current requirement to have these devices au</w:t>
      </w:r>
      <w:r w:rsidR="001D1231" w:rsidRPr="006D0608">
        <w:rPr>
          <w:sz w:val="24"/>
          <w:szCs w:val="24"/>
        </w:rPr>
        <w:t xml:space="preserve">thorized </w:t>
      </w:r>
      <w:r w:rsidRPr="006D0608">
        <w:rPr>
          <w:sz w:val="24"/>
          <w:szCs w:val="24"/>
        </w:rPr>
        <w:t xml:space="preserve">under Part 3 of the MDR causes administrative delays and disincentives for researchers.  </w:t>
      </w:r>
      <w:r w:rsidR="001D1231" w:rsidRPr="006D0608">
        <w:rPr>
          <w:sz w:val="24"/>
          <w:szCs w:val="24"/>
        </w:rPr>
        <w:t xml:space="preserve">The MDR do not define </w:t>
      </w:r>
      <w:r w:rsidRPr="006D0608">
        <w:rPr>
          <w:sz w:val="24"/>
          <w:szCs w:val="24"/>
        </w:rPr>
        <w:t xml:space="preserve">“research use only” </w:t>
      </w:r>
      <w:r w:rsidR="001D1231" w:rsidRPr="006D0608">
        <w:rPr>
          <w:sz w:val="24"/>
          <w:szCs w:val="24"/>
        </w:rPr>
        <w:t>device</w:t>
      </w:r>
      <w:r w:rsidRPr="006D0608">
        <w:rPr>
          <w:sz w:val="24"/>
          <w:szCs w:val="24"/>
        </w:rPr>
        <w:t xml:space="preserve">, </w:t>
      </w:r>
      <w:r w:rsidR="001D1231" w:rsidRPr="006D0608">
        <w:rPr>
          <w:sz w:val="24"/>
          <w:szCs w:val="24"/>
        </w:rPr>
        <w:t xml:space="preserve">nor do they identify the </w:t>
      </w:r>
      <w:r w:rsidRPr="006D0608">
        <w:rPr>
          <w:sz w:val="24"/>
          <w:szCs w:val="24"/>
        </w:rPr>
        <w:t xml:space="preserve">conditions </w:t>
      </w:r>
      <w:r w:rsidR="001D1231" w:rsidRPr="006D0608">
        <w:rPr>
          <w:sz w:val="24"/>
          <w:szCs w:val="24"/>
        </w:rPr>
        <w:t xml:space="preserve">under which </w:t>
      </w:r>
      <w:r w:rsidRPr="006D0608">
        <w:rPr>
          <w:sz w:val="24"/>
          <w:szCs w:val="24"/>
        </w:rPr>
        <w:t xml:space="preserve">their use in investigational testing would </w:t>
      </w:r>
      <w:r w:rsidRPr="006D0608">
        <w:rPr>
          <w:sz w:val="24"/>
          <w:szCs w:val="24"/>
          <w:u w:val="single"/>
        </w:rPr>
        <w:t>not</w:t>
      </w:r>
      <w:r w:rsidRPr="006D0608">
        <w:rPr>
          <w:sz w:val="24"/>
          <w:szCs w:val="24"/>
        </w:rPr>
        <w:t xml:space="preserve"> require Health Canada authorization</w:t>
      </w:r>
      <w:r w:rsidR="001D1231" w:rsidRPr="006D0608">
        <w:rPr>
          <w:sz w:val="24"/>
          <w:szCs w:val="24"/>
        </w:rPr>
        <w:t xml:space="preserve">. One exception is with respect to magnetic resonance imaging pulse sequences, where </w:t>
      </w:r>
      <w:r w:rsidRPr="006D0608">
        <w:rPr>
          <w:sz w:val="24"/>
          <w:szCs w:val="24"/>
        </w:rPr>
        <w:t xml:space="preserve">Health Canada </w:t>
      </w:r>
      <w:r w:rsidR="001D1231" w:rsidRPr="006D0608">
        <w:rPr>
          <w:sz w:val="24"/>
          <w:szCs w:val="24"/>
        </w:rPr>
        <w:t xml:space="preserve">decided that </w:t>
      </w:r>
      <w:r w:rsidRPr="006D0608">
        <w:rPr>
          <w:sz w:val="24"/>
          <w:szCs w:val="24"/>
        </w:rPr>
        <w:t xml:space="preserve">investigators </w:t>
      </w:r>
      <w:r w:rsidR="001D1231" w:rsidRPr="006D0608">
        <w:rPr>
          <w:sz w:val="24"/>
          <w:szCs w:val="24"/>
        </w:rPr>
        <w:t>we</w:t>
      </w:r>
      <w:r w:rsidRPr="006D0608">
        <w:rPr>
          <w:sz w:val="24"/>
          <w:szCs w:val="24"/>
        </w:rPr>
        <w:t>re no longer required to obtain a</w:t>
      </w:r>
      <w:r w:rsidR="001D1231" w:rsidRPr="006D0608">
        <w:rPr>
          <w:sz w:val="24"/>
          <w:szCs w:val="24"/>
        </w:rPr>
        <w:t xml:space="preserve">uthorization </w:t>
      </w:r>
      <w:r w:rsidRPr="006D0608">
        <w:rPr>
          <w:sz w:val="24"/>
          <w:szCs w:val="24"/>
        </w:rPr>
        <w:t>prior to starting a trial using a “work-in-progress” pulse sequence</w:t>
      </w:r>
      <w:r w:rsidR="001D1231" w:rsidRPr="006D0608">
        <w:rPr>
          <w:sz w:val="24"/>
          <w:szCs w:val="24"/>
        </w:rPr>
        <w:t xml:space="preserve"> (when </w:t>
      </w:r>
      <w:r w:rsidRPr="006D0608">
        <w:rPr>
          <w:sz w:val="24"/>
          <w:szCs w:val="24"/>
        </w:rPr>
        <w:t>certain conditions were met</w:t>
      </w:r>
      <w:r w:rsidR="001D1231" w:rsidRPr="006D0608">
        <w:rPr>
          <w:sz w:val="24"/>
          <w:szCs w:val="24"/>
        </w:rPr>
        <w:t>)</w:t>
      </w:r>
      <w:r w:rsidRPr="006D0608">
        <w:rPr>
          <w:sz w:val="24"/>
          <w:szCs w:val="24"/>
        </w:rPr>
        <w:t xml:space="preserve">. </w:t>
      </w:r>
    </w:p>
    <w:p w:rsidR="004D334D" w:rsidRDefault="004D334D" w:rsidP="008A7C61">
      <w:pPr>
        <w:spacing w:after="0"/>
        <w:rPr>
          <w:sz w:val="24"/>
          <w:szCs w:val="24"/>
        </w:rPr>
      </w:pPr>
    </w:p>
    <w:p w:rsidR="004D334D" w:rsidRPr="006D0608" w:rsidRDefault="004D334D" w:rsidP="008A7C61">
      <w:pPr>
        <w:spacing w:after="0"/>
        <w:rPr>
          <w:sz w:val="24"/>
          <w:szCs w:val="24"/>
        </w:rPr>
      </w:pPr>
      <w:r>
        <w:rPr>
          <w:sz w:val="24"/>
          <w:szCs w:val="24"/>
        </w:rPr>
        <w:t>In the United States</w:t>
      </w:r>
      <w:r w:rsidR="00183071">
        <w:rPr>
          <w:sz w:val="24"/>
          <w:szCs w:val="24"/>
        </w:rPr>
        <w:t xml:space="preserve"> and the European Union</w:t>
      </w:r>
      <w:r>
        <w:rPr>
          <w:sz w:val="24"/>
          <w:szCs w:val="24"/>
        </w:rPr>
        <w:t>, manufacturers of research use only devices are exempted from certain regulatory requirements.</w:t>
      </w:r>
    </w:p>
    <w:p w:rsidR="00DF46EB" w:rsidRDefault="00DF46EB" w:rsidP="00DF46EB">
      <w:pPr>
        <w:spacing w:after="0"/>
        <w:rPr>
          <w:sz w:val="24"/>
          <w:szCs w:val="24"/>
        </w:rPr>
      </w:pPr>
    </w:p>
    <w:p w:rsidR="00D402D6" w:rsidRPr="006D0608" w:rsidRDefault="00D402D6" w:rsidP="00DF46EB">
      <w:pPr>
        <w:spacing w:after="0"/>
        <w:rPr>
          <w:sz w:val="24"/>
          <w:szCs w:val="24"/>
        </w:rPr>
      </w:pPr>
    </w:p>
    <w:tbl>
      <w:tblPr>
        <w:tblStyle w:val="TableGrid"/>
        <w:tblW w:w="0" w:type="auto"/>
        <w:tblInd w:w="108" w:type="dxa"/>
        <w:tblLook w:val="04A0" w:firstRow="1" w:lastRow="0" w:firstColumn="1" w:lastColumn="0" w:noHBand="0" w:noVBand="1"/>
      </w:tblPr>
      <w:tblGrid>
        <w:gridCol w:w="9214"/>
      </w:tblGrid>
      <w:tr w:rsidR="002E762B" w:rsidRPr="006D0608" w:rsidTr="002E762B">
        <w:tc>
          <w:tcPr>
            <w:tcW w:w="9214" w:type="dxa"/>
          </w:tcPr>
          <w:p w:rsidR="007B371E" w:rsidRPr="006D0608" w:rsidRDefault="007B371E" w:rsidP="002E762B">
            <w:pPr>
              <w:rPr>
                <w:b/>
                <w:sz w:val="24"/>
                <w:szCs w:val="24"/>
              </w:rPr>
            </w:pPr>
            <w:r w:rsidRPr="006D0608">
              <w:rPr>
                <w:b/>
                <w:sz w:val="24"/>
                <w:szCs w:val="24"/>
              </w:rPr>
              <w:lastRenderedPageBreak/>
              <w:t>QUESTIONS:</w:t>
            </w:r>
          </w:p>
          <w:p w:rsidR="007B371E" w:rsidRPr="006D0608" w:rsidRDefault="007B371E" w:rsidP="002E762B">
            <w:pPr>
              <w:rPr>
                <w:sz w:val="24"/>
                <w:szCs w:val="24"/>
              </w:rPr>
            </w:pPr>
          </w:p>
          <w:p w:rsidR="0091251D" w:rsidRPr="006D0608" w:rsidRDefault="00C66F6D" w:rsidP="00185E76">
            <w:pPr>
              <w:pStyle w:val="ListParagraph"/>
              <w:numPr>
                <w:ilvl w:val="0"/>
                <w:numId w:val="9"/>
              </w:numPr>
              <w:rPr>
                <w:sz w:val="24"/>
                <w:szCs w:val="24"/>
              </w:rPr>
            </w:pPr>
            <w:r w:rsidRPr="006D0608">
              <w:rPr>
                <w:sz w:val="24"/>
                <w:szCs w:val="24"/>
              </w:rPr>
              <w:t>Should</w:t>
            </w:r>
            <w:r w:rsidR="002E762B" w:rsidRPr="006D0608">
              <w:rPr>
                <w:sz w:val="24"/>
                <w:szCs w:val="24"/>
              </w:rPr>
              <w:t xml:space="preserve"> certain </w:t>
            </w:r>
            <w:r w:rsidR="004D334D">
              <w:rPr>
                <w:sz w:val="24"/>
                <w:szCs w:val="24"/>
              </w:rPr>
              <w:t>“</w:t>
            </w:r>
            <w:r w:rsidR="002E762B" w:rsidRPr="006D0608">
              <w:rPr>
                <w:sz w:val="24"/>
                <w:szCs w:val="24"/>
              </w:rPr>
              <w:t>research use only</w:t>
            </w:r>
            <w:r w:rsidR="004D334D">
              <w:rPr>
                <w:sz w:val="24"/>
                <w:szCs w:val="24"/>
              </w:rPr>
              <w:t>”</w:t>
            </w:r>
            <w:r w:rsidR="002E762B" w:rsidRPr="006D0608">
              <w:rPr>
                <w:sz w:val="24"/>
                <w:szCs w:val="24"/>
              </w:rPr>
              <w:t xml:space="preserve"> devices</w:t>
            </w:r>
            <w:r w:rsidRPr="006D0608">
              <w:rPr>
                <w:sz w:val="24"/>
                <w:szCs w:val="24"/>
              </w:rPr>
              <w:t xml:space="preserve"> be exempted</w:t>
            </w:r>
            <w:r w:rsidR="002E762B" w:rsidRPr="006D0608">
              <w:rPr>
                <w:sz w:val="24"/>
                <w:szCs w:val="24"/>
              </w:rPr>
              <w:t xml:space="preserve"> from the authorization requirements under Part 3 of the </w:t>
            </w:r>
            <w:r w:rsidR="0091251D" w:rsidRPr="006D0608">
              <w:rPr>
                <w:sz w:val="24"/>
                <w:szCs w:val="24"/>
              </w:rPr>
              <w:t>MDR</w:t>
            </w:r>
            <w:r w:rsidR="002E762B" w:rsidRPr="006D0608">
              <w:rPr>
                <w:sz w:val="24"/>
                <w:szCs w:val="24"/>
              </w:rPr>
              <w:t>?</w:t>
            </w:r>
            <w:r w:rsidR="0091251D" w:rsidRPr="006D0608">
              <w:rPr>
                <w:sz w:val="24"/>
                <w:szCs w:val="24"/>
              </w:rPr>
              <w:t xml:space="preserve">  Please explain.</w:t>
            </w:r>
          </w:p>
          <w:p w:rsidR="0091251D" w:rsidRPr="006D0608" w:rsidRDefault="0091251D" w:rsidP="0091251D">
            <w:pPr>
              <w:pStyle w:val="ListParagraph"/>
              <w:rPr>
                <w:sz w:val="24"/>
                <w:szCs w:val="24"/>
              </w:rPr>
            </w:pPr>
          </w:p>
          <w:p w:rsidR="002E762B" w:rsidRPr="00D402D6" w:rsidRDefault="0091251D" w:rsidP="00DF46EB">
            <w:pPr>
              <w:pStyle w:val="ListParagraph"/>
              <w:numPr>
                <w:ilvl w:val="0"/>
                <w:numId w:val="9"/>
              </w:numPr>
              <w:rPr>
                <w:sz w:val="24"/>
                <w:szCs w:val="24"/>
              </w:rPr>
            </w:pPr>
            <w:r w:rsidRPr="006D0608">
              <w:rPr>
                <w:sz w:val="24"/>
                <w:szCs w:val="24"/>
              </w:rPr>
              <w:t xml:space="preserve">If you responded yes to question 5a, </w:t>
            </w:r>
            <w:r w:rsidR="002E762B" w:rsidRPr="006D0608">
              <w:rPr>
                <w:sz w:val="24"/>
                <w:szCs w:val="24"/>
              </w:rPr>
              <w:t>what products should be considered for exemption</w:t>
            </w:r>
            <w:r w:rsidR="007B371E" w:rsidRPr="006D0608">
              <w:rPr>
                <w:sz w:val="24"/>
                <w:szCs w:val="24"/>
              </w:rPr>
              <w:t xml:space="preserve">? Please </w:t>
            </w:r>
            <w:r w:rsidRPr="006D0608">
              <w:rPr>
                <w:sz w:val="24"/>
                <w:szCs w:val="24"/>
              </w:rPr>
              <w:t>explain.</w:t>
            </w:r>
            <w:r w:rsidR="002E762B" w:rsidRPr="006D0608">
              <w:rPr>
                <w:sz w:val="24"/>
                <w:szCs w:val="24"/>
              </w:rPr>
              <w:t xml:space="preserve"> </w:t>
            </w:r>
          </w:p>
        </w:tc>
      </w:tr>
    </w:tbl>
    <w:p w:rsidR="002E762B" w:rsidRPr="006D0608" w:rsidRDefault="002E762B" w:rsidP="00DF46EB">
      <w:pPr>
        <w:spacing w:after="0"/>
        <w:rPr>
          <w:sz w:val="24"/>
          <w:szCs w:val="24"/>
        </w:rPr>
      </w:pPr>
    </w:p>
    <w:p w:rsidR="00413BDD" w:rsidRPr="006D0608" w:rsidRDefault="00413BDD" w:rsidP="00EA4390">
      <w:pPr>
        <w:rPr>
          <w:b/>
          <w:sz w:val="24"/>
          <w:szCs w:val="24"/>
        </w:rPr>
      </w:pPr>
    </w:p>
    <w:sectPr w:rsidR="00413BDD" w:rsidRPr="006D060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29" w:rsidRDefault="004D2F29" w:rsidP="009077D6">
      <w:pPr>
        <w:spacing w:after="0" w:line="240" w:lineRule="auto"/>
      </w:pPr>
      <w:r>
        <w:separator/>
      </w:r>
    </w:p>
  </w:endnote>
  <w:endnote w:type="continuationSeparator" w:id="0">
    <w:p w:rsidR="004D2F29" w:rsidRDefault="004D2F29" w:rsidP="0090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165357"/>
      <w:docPartObj>
        <w:docPartGallery w:val="Page Numbers (Bottom of Page)"/>
        <w:docPartUnique/>
      </w:docPartObj>
    </w:sdtPr>
    <w:sdtEndPr>
      <w:rPr>
        <w:noProof/>
      </w:rPr>
    </w:sdtEndPr>
    <w:sdtContent>
      <w:p w:rsidR="00D402D6" w:rsidRDefault="00D402D6">
        <w:pPr>
          <w:pStyle w:val="Footer"/>
          <w:jc w:val="right"/>
        </w:pPr>
        <w:r>
          <w:fldChar w:fldCharType="begin"/>
        </w:r>
        <w:r>
          <w:instrText xml:space="preserve"> PAGE   \* MERGEFORMAT </w:instrText>
        </w:r>
        <w:r>
          <w:fldChar w:fldCharType="separate"/>
        </w:r>
        <w:r w:rsidR="00DE0D9F">
          <w:rPr>
            <w:noProof/>
          </w:rPr>
          <w:t>1</w:t>
        </w:r>
        <w:r>
          <w:rPr>
            <w:noProof/>
          </w:rPr>
          <w:fldChar w:fldCharType="end"/>
        </w:r>
      </w:p>
    </w:sdtContent>
  </w:sdt>
  <w:p w:rsidR="00D402D6" w:rsidRDefault="00D4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29" w:rsidRDefault="004D2F29" w:rsidP="009077D6">
      <w:pPr>
        <w:spacing w:after="0" w:line="240" w:lineRule="auto"/>
      </w:pPr>
      <w:r>
        <w:separator/>
      </w:r>
    </w:p>
  </w:footnote>
  <w:footnote w:type="continuationSeparator" w:id="0">
    <w:p w:rsidR="004D2F29" w:rsidRDefault="004D2F29" w:rsidP="009077D6">
      <w:pPr>
        <w:spacing w:after="0" w:line="240" w:lineRule="auto"/>
      </w:pPr>
      <w:r>
        <w:continuationSeparator/>
      </w:r>
    </w:p>
  </w:footnote>
  <w:footnote w:id="1">
    <w:p w:rsidR="009077D6" w:rsidRDefault="009077D6">
      <w:pPr>
        <w:pStyle w:val="FootnoteText"/>
      </w:pPr>
      <w:r>
        <w:rPr>
          <w:rStyle w:val="FootnoteReference"/>
        </w:rPr>
        <w:footnoteRef/>
      </w:r>
      <w:r>
        <w:t xml:space="preserve"> </w:t>
      </w:r>
      <w:r w:rsidR="00F62798">
        <w:t>T</w:t>
      </w:r>
      <w:r w:rsidR="002D627D" w:rsidRPr="002D627D">
        <w:t xml:space="preserve">here is no requirement to obtain an ITA for a Class I medical device </w:t>
      </w:r>
      <w:r w:rsidR="00F62798">
        <w:t xml:space="preserve">but </w:t>
      </w:r>
      <w:r w:rsidR="002D627D" w:rsidRPr="002D627D">
        <w:t xml:space="preserve">REB approval is still required for investigational testing involving Class I devices. </w:t>
      </w:r>
      <w:r w:rsidR="00F62798">
        <w:t>With regard to investigational testing of Class II medical devices, e</w:t>
      </w:r>
      <w:r w:rsidR="002D627D" w:rsidRPr="002D627D">
        <w:t>vidence of REB approval is required</w:t>
      </w:r>
      <w:r w:rsidR="00F62798">
        <w:t>,</w:t>
      </w:r>
      <w:r w:rsidR="002D627D" w:rsidRPr="002D627D">
        <w:t xml:space="preserve"> but does not need to be submitted to Health Canada prior to receiving an ITA.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022"/>
    <w:multiLevelType w:val="hybridMultilevel"/>
    <w:tmpl w:val="79263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0B63A5"/>
    <w:multiLevelType w:val="hybridMultilevel"/>
    <w:tmpl w:val="1C182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D0691B"/>
    <w:multiLevelType w:val="hybridMultilevel"/>
    <w:tmpl w:val="FA04F0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5B3268"/>
    <w:multiLevelType w:val="hybridMultilevel"/>
    <w:tmpl w:val="FA04F0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A8154D"/>
    <w:multiLevelType w:val="hybridMultilevel"/>
    <w:tmpl w:val="FA04F0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F017D0"/>
    <w:multiLevelType w:val="hybridMultilevel"/>
    <w:tmpl w:val="FA04F0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A06673"/>
    <w:multiLevelType w:val="hybridMultilevel"/>
    <w:tmpl w:val="BFF4A6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B04BD5"/>
    <w:multiLevelType w:val="hybridMultilevel"/>
    <w:tmpl w:val="FA04F0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7234882"/>
    <w:multiLevelType w:val="hybridMultilevel"/>
    <w:tmpl w:val="FA04F0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2"/>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CA"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90"/>
    <w:rsid w:val="00033815"/>
    <w:rsid w:val="000352C4"/>
    <w:rsid w:val="000656DA"/>
    <w:rsid w:val="00067CEF"/>
    <w:rsid w:val="0007301E"/>
    <w:rsid w:val="00090CE1"/>
    <w:rsid w:val="00096696"/>
    <w:rsid w:val="000A5ADC"/>
    <w:rsid w:val="000A622A"/>
    <w:rsid w:val="000A645C"/>
    <w:rsid w:val="000C19BA"/>
    <w:rsid w:val="000D2C50"/>
    <w:rsid w:val="000E76AF"/>
    <w:rsid w:val="000F267E"/>
    <w:rsid w:val="000F32A0"/>
    <w:rsid w:val="000F3B13"/>
    <w:rsid w:val="000F422D"/>
    <w:rsid w:val="00111F83"/>
    <w:rsid w:val="00115D29"/>
    <w:rsid w:val="00122F56"/>
    <w:rsid w:val="00124809"/>
    <w:rsid w:val="001502C5"/>
    <w:rsid w:val="00156EE6"/>
    <w:rsid w:val="001637F9"/>
    <w:rsid w:val="00180B58"/>
    <w:rsid w:val="001823A8"/>
    <w:rsid w:val="00183071"/>
    <w:rsid w:val="00185E76"/>
    <w:rsid w:val="00186877"/>
    <w:rsid w:val="001925CA"/>
    <w:rsid w:val="001B19E2"/>
    <w:rsid w:val="001B3777"/>
    <w:rsid w:val="001C1C76"/>
    <w:rsid w:val="001D1231"/>
    <w:rsid w:val="001E59C7"/>
    <w:rsid w:val="001F157E"/>
    <w:rsid w:val="00225773"/>
    <w:rsid w:val="0023033E"/>
    <w:rsid w:val="00230EFC"/>
    <w:rsid w:val="00237CC1"/>
    <w:rsid w:val="00237ED4"/>
    <w:rsid w:val="002547A9"/>
    <w:rsid w:val="00262BAB"/>
    <w:rsid w:val="00271470"/>
    <w:rsid w:val="00283CDC"/>
    <w:rsid w:val="002924D0"/>
    <w:rsid w:val="002D627D"/>
    <w:rsid w:val="002E762B"/>
    <w:rsid w:val="00301C27"/>
    <w:rsid w:val="00306E4A"/>
    <w:rsid w:val="00307980"/>
    <w:rsid w:val="00314884"/>
    <w:rsid w:val="00315830"/>
    <w:rsid w:val="00320BF1"/>
    <w:rsid w:val="00327A9F"/>
    <w:rsid w:val="0033266B"/>
    <w:rsid w:val="00332C88"/>
    <w:rsid w:val="00341F42"/>
    <w:rsid w:val="00351AC8"/>
    <w:rsid w:val="003A11A2"/>
    <w:rsid w:val="003A4D98"/>
    <w:rsid w:val="003C18BA"/>
    <w:rsid w:val="003D50C9"/>
    <w:rsid w:val="003E4B7F"/>
    <w:rsid w:val="003F00CC"/>
    <w:rsid w:val="003F19DD"/>
    <w:rsid w:val="00413BDD"/>
    <w:rsid w:val="00422C65"/>
    <w:rsid w:val="00452E4C"/>
    <w:rsid w:val="0048322D"/>
    <w:rsid w:val="00486652"/>
    <w:rsid w:val="004C7A49"/>
    <w:rsid w:val="004C7EEA"/>
    <w:rsid w:val="004D2F29"/>
    <w:rsid w:val="004D334D"/>
    <w:rsid w:val="004E07D5"/>
    <w:rsid w:val="004F496C"/>
    <w:rsid w:val="005001F3"/>
    <w:rsid w:val="00524D63"/>
    <w:rsid w:val="00536627"/>
    <w:rsid w:val="005551DB"/>
    <w:rsid w:val="005650E8"/>
    <w:rsid w:val="00583EA1"/>
    <w:rsid w:val="005977DB"/>
    <w:rsid w:val="005B10A7"/>
    <w:rsid w:val="005B266B"/>
    <w:rsid w:val="005B6404"/>
    <w:rsid w:val="005C45CB"/>
    <w:rsid w:val="005D24BD"/>
    <w:rsid w:val="005E16AB"/>
    <w:rsid w:val="005E671C"/>
    <w:rsid w:val="005F5143"/>
    <w:rsid w:val="005F5F7E"/>
    <w:rsid w:val="00602EE8"/>
    <w:rsid w:val="00622EA0"/>
    <w:rsid w:val="0066710A"/>
    <w:rsid w:val="006D0608"/>
    <w:rsid w:val="006F0461"/>
    <w:rsid w:val="006F66DE"/>
    <w:rsid w:val="00715400"/>
    <w:rsid w:val="00722941"/>
    <w:rsid w:val="00722AD0"/>
    <w:rsid w:val="00724170"/>
    <w:rsid w:val="0074547C"/>
    <w:rsid w:val="007619E7"/>
    <w:rsid w:val="007A5017"/>
    <w:rsid w:val="007B371E"/>
    <w:rsid w:val="007F2EAE"/>
    <w:rsid w:val="00814586"/>
    <w:rsid w:val="008442A1"/>
    <w:rsid w:val="008457C1"/>
    <w:rsid w:val="00854CAD"/>
    <w:rsid w:val="00856F72"/>
    <w:rsid w:val="00873B0A"/>
    <w:rsid w:val="008A5E83"/>
    <w:rsid w:val="008A7C61"/>
    <w:rsid w:val="008B093B"/>
    <w:rsid w:val="008C37E8"/>
    <w:rsid w:val="008E2968"/>
    <w:rsid w:val="008E48E8"/>
    <w:rsid w:val="008F0D8F"/>
    <w:rsid w:val="009077D6"/>
    <w:rsid w:val="0091251D"/>
    <w:rsid w:val="009204AB"/>
    <w:rsid w:val="00927864"/>
    <w:rsid w:val="00956134"/>
    <w:rsid w:val="00956630"/>
    <w:rsid w:val="00986A15"/>
    <w:rsid w:val="009B3057"/>
    <w:rsid w:val="009C06D1"/>
    <w:rsid w:val="009E40B1"/>
    <w:rsid w:val="00A04B35"/>
    <w:rsid w:val="00A11588"/>
    <w:rsid w:val="00A13924"/>
    <w:rsid w:val="00A16747"/>
    <w:rsid w:val="00A22425"/>
    <w:rsid w:val="00A2756B"/>
    <w:rsid w:val="00A31394"/>
    <w:rsid w:val="00A90E4C"/>
    <w:rsid w:val="00A92E73"/>
    <w:rsid w:val="00AD5978"/>
    <w:rsid w:val="00AF2B7F"/>
    <w:rsid w:val="00AF626A"/>
    <w:rsid w:val="00B22E17"/>
    <w:rsid w:val="00B41162"/>
    <w:rsid w:val="00BC5772"/>
    <w:rsid w:val="00BD3E1F"/>
    <w:rsid w:val="00C04A15"/>
    <w:rsid w:val="00C31780"/>
    <w:rsid w:val="00C31FA1"/>
    <w:rsid w:val="00C36BE8"/>
    <w:rsid w:val="00C57D1D"/>
    <w:rsid w:val="00C66F6D"/>
    <w:rsid w:val="00C7041C"/>
    <w:rsid w:val="00C71D5B"/>
    <w:rsid w:val="00CB0ADD"/>
    <w:rsid w:val="00CB6FB3"/>
    <w:rsid w:val="00CC1AB5"/>
    <w:rsid w:val="00D132AC"/>
    <w:rsid w:val="00D214AD"/>
    <w:rsid w:val="00D37A9F"/>
    <w:rsid w:val="00D402D6"/>
    <w:rsid w:val="00D509E9"/>
    <w:rsid w:val="00D619AA"/>
    <w:rsid w:val="00D62EBC"/>
    <w:rsid w:val="00D7410C"/>
    <w:rsid w:val="00D81454"/>
    <w:rsid w:val="00DA5EF6"/>
    <w:rsid w:val="00DE0D9F"/>
    <w:rsid w:val="00DF46EB"/>
    <w:rsid w:val="00E02F83"/>
    <w:rsid w:val="00E04A43"/>
    <w:rsid w:val="00E057EA"/>
    <w:rsid w:val="00E3367B"/>
    <w:rsid w:val="00E40164"/>
    <w:rsid w:val="00E56EB6"/>
    <w:rsid w:val="00E76C3B"/>
    <w:rsid w:val="00E83725"/>
    <w:rsid w:val="00EA4390"/>
    <w:rsid w:val="00EC10D4"/>
    <w:rsid w:val="00ED302C"/>
    <w:rsid w:val="00EF50AA"/>
    <w:rsid w:val="00F00C9E"/>
    <w:rsid w:val="00F1255A"/>
    <w:rsid w:val="00F46435"/>
    <w:rsid w:val="00F46A8E"/>
    <w:rsid w:val="00F60BF5"/>
    <w:rsid w:val="00F62798"/>
    <w:rsid w:val="00F7019D"/>
    <w:rsid w:val="00F75DFB"/>
    <w:rsid w:val="00FE7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C52E3-2686-4C8E-B180-01F552CE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FB3"/>
    <w:pPr>
      <w:ind w:left="720"/>
      <w:contextualSpacing/>
    </w:pPr>
  </w:style>
  <w:style w:type="character" w:styleId="CommentReference">
    <w:name w:val="annotation reference"/>
    <w:basedOn w:val="DefaultParagraphFont"/>
    <w:uiPriority w:val="99"/>
    <w:semiHidden/>
    <w:unhideWhenUsed/>
    <w:rsid w:val="009B3057"/>
    <w:rPr>
      <w:sz w:val="16"/>
      <w:szCs w:val="16"/>
    </w:rPr>
  </w:style>
  <w:style w:type="paragraph" w:styleId="CommentText">
    <w:name w:val="annotation text"/>
    <w:basedOn w:val="Normal"/>
    <w:link w:val="CommentTextChar"/>
    <w:uiPriority w:val="99"/>
    <w:semiHidden/>
    <w:unhideWhenUsed/>
    <w:rsid w:val="009B3057"/>
    <w:pPr>
      <w:spacing w:line="240" w:lineRule="auto"/>
    </w:pPr>
    <w:rPr>
      <w:sz w:val="20"/>
      <w:szCs w:val="20"/>
    </w:rPr>
  </w:style>
  <w:style w:type="character" w:customStyle="1" w:styleId="CommentTextChar">
    <w:name w:val="Comment Text Char"/>
    <w:basedOn w:val="DefaultParagraphFont"/>
    <w:link w:val="CommentText"/>
    <w:uiPriority w:val="99"/>
    <w:semiHidden/>
    <w:rsid w:val="009B3057"/>
    <w:rPr>
      <w:sz w:val="20"/>
      <w:szCs w:val="20"/>
    </w:rPr>
  </w:style>
  <w:style w:type="paragraph" w:styleId="CommentSubject">
    <w:name w:val="annotation subject"/>
    <w:basedOn w:val="CommentText"/>
    <w:next w:val="CommentText"/>
    <w:link w:val="CommentSubjectChar"/>
    <w:uiPriority w:val="99"/>
    <w:semiHidden/>
    <w:unhideWhenUsed/>
    <w:rsid w:val="009B3057"/>
    <w:rPr>
      <w:b/>
      <w:bCs/>
    </w:rPr>
  </w:style>
  <w:style w:type="character" w:customStyle="1" w:styleId="CommentSubjectChar">
    <w:name w:val="Comment Subject Char"/>
    <w:basedOn w:val="CommentTextChar"/>
    <w:link w:val="CommentSubject"/>
    <w:uiPriority w:val="99"/>
    <w:semiHidden/>
    <w:rsid w:val="009B3057"/>
    <w:rPr>
      <w:b/>
      <w:bCs/>
      <w:sz w:val="20"/>
      <w:szCs w:val="20"/>
    </w:rPr>
  </w:style>
  <w:style w:type="paragraph" w:styleId="BalloonText">
    <w:name w:val="Balloon Text"/>
    <w:basedOn w:val="Normal"/>
    <w:link w:val="BalloonTextChar"/>
    <w:uiPriority w:val="99"/>
    <w:semiHidden/>
    <w:unhideWhenUsed/>
    <w:rsid w:val="009B3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057"/>
    <w:rPr>
      <w:rFonts w:ascii="Segoe UI" w:hAnsi="Segoe UI" w:cs="Segoe UI"/>
      <w:sz w:val="18"/>
      <w:szCs w:val="18"/>
    </w:rPr>
  </w:style>
  <w:style w:type="paragraph" w:styleId="FootnoteText">
    <w:name w:val="footnote text"/>
    <w:basedOn w:val="Normal"/>
    <w:link w:val="FootnoteTextChar"/>
    <w:uiPriority w:val="99"/>
    <w:semiHidden/>
    <w:unhideWhenUsed/>
    <w:rsid w:val="00907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7D6"/>
    <w:rPr>
      <w:sz w:val="20"/>
      <w:szCs w:val="20"/>
    </w:rPr>
  </w:style>
  <w:style w:type="character" w:styleId="FootnoteReference">
    <w:name w:val="footnote reference"/>
    <w:basedOn w:val="DefaultParagraphFont"/>
    <w:uiPriority w:val="99"/>
    <w:semiHidden/>
    <w:unhideWhenUsed/>
    <w:rsid w:val="009077D6"/>
    <w:rPr>
      <w:vertAlign w:val="superscript"/>
    </w:rPr>
  </w:style>
  <w:style w:type="paragraph" w:styleId="Revision">
    <w:name w:val="Revision"/>
    <w:hidden/>
    <w:uiPriority w:val="99"/>
    <w:semiHidden/>
    <w:rsid w:val="00986A15"/>
    <w:pPr>
      <w:spacing w:after="0" w:line="240" w:lineRule="auto"/>
    </w:pPr>
  </w:style>
  <w:style w:type="paragraph" w:styleId="Header">
    <w:name w:val="header"/>
    <w:basedOn w:val="Normal"/>
    <w:link w:val="HeaderChar"/>
    <w:uiPriority w:val="99"/>
    <w:unhideWhenUsed/>
    <w:rsid w:val="00D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2D6"/>
  </w:style>
  <w:style w:type="paragraph" w:styleId="Footer">
    <w:name w:val="footer"/>
    <w:basedOn w:val="Normal"/>
    <w:link w:val="FooterChar"/>
    <w:uiPriority w:val="99"/>
    <w:unhideWhenUsed/>
    <w:rsid w:val="00D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4401">
      <w:bodyDiv w:val="1"/>
      <w:marLeft w:val="0"/>
      <w:marRight w:val="0"/>
      <w:marTop w:val="0"/>
      <w:marBottom w:val="0"/>
      <w:divBdr>
        <w:top w:val="none" w:sz="0" w:space="0" w:color="auto"/>
        <w:left w:val="none" w:sz="0" w:space="0" w:color="auto"/>
        <w:bottom w:val="none" w:sz="0" w:space="0" w:color="auto"/>
        <w:right w:val="none" w:sz="0" w:space="0" w:color="auto"/>
      </w:divBdr>
    </w:div>
    <w:div w:id="827135166">
      <w:bodyDiv w:val="1"/>
      <w:marLeft w:val="0"/>
      <w:marRight w:val="0"/>
      <w:marTop w:val="0"/>
      <w:marBottom w:val="0"/>
      <w:divBdr>
        <w:top w:val="none" w:sz="0" w:space="0" w:color="auto"/>
        <w:left w:val="none" w:sz="0" w:space="0" w:color="auto"/>
        <w:bottom w:val="none" w:sz="0" w:space="0" w:color="auto"/>
        <w:right w:val="none" w:sz="0" w:space="0" w:color="auto"/>
      </w:divBdr>
    </w:div>
    <w:div w:id="1275557917">
      <w:bodyDiv w:val="1"/>
      <w:marLeft w:val="0"/>
      <w:marRight w:val="0"/>
      <w:marTop w:val="0"/>
      <w:marBottom w:val="0"/>
      <w:divBdr>
        <w:top w:val="none" w:sz="0" w:space="0" w:color="auto"/>
        <w:left w:val="none" w:sz="0" w:space="0" w:color="auto"/>
        <w:bottom w:val="none" w:sz="0" w:space="0" w:color="auto"/>
        <w:right w:val="none" w:sz="0" w:space="0" w:color="auto"/>
      </w:divBdr>
    </w:div>
    <w:div w:id="1561019389">
      <w:bodyDiv w:val="1"/>
      <w:marLeft w:val="0"/>
      <w:marRight w:val="0"/>
      <w:marTop w:val="0"/>
      <w:marBottom w:val="0"/>
      <w:divBdr>
        <w:top w:val="none" w:sz="0" w:space="0" w:color="auto"/>
        <w:left w:val="none" w:sz="0" w:space="0" w:color="auto"/>
        <w:bottom w:val="none" w:sz="0" w:space="0" w:color="auto"/>
        <w:right w:val="none" w:sz="0" w:space="0" w:color="auto"/>
      </w:divBdr>
    </w:div>
    <w:div w:id="1618677793">
      <w:bodyDiv w:val="1"/>
      <w:marLeft w:val="0"/>
      <w:marRight w:val="0"/>
      <w:marTop w:val="0"/>
      <w:marBottom w:val="0"/>
      <w:divBdr>
        <w:top w:val="none" w:sz="0" w:space="0" w:color="auto"/>
        <w:left w:val="none" w:sz="0" w:space="0" w:color="auto"/>
        <w:bottom w:val="none" w:sz="0" w:space="0" w:color="auto"/>
        <w:right w:val="none" w:sz="0" w:space="0" w:color="auto"/>
      </w:divBdr>
    </w:div>
    <w:div w:id="18018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A19F-5FB9-44BF-8C34-8F0D2D66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Fallenbuchl</dc:creator>
  <cp:lastModifiedBy>Beren Avci</cp:lastModifiedBy>
  <cp:revision>2</cp:revision>
  <cp:lastPrinted>2019-04-17T19:00:00Z</cp:lastPrinted>
  <dcterms:created xsi:type="dcterms:W3CDTF">2019-05-03T20:08:00Z</dcterms:created>
  <dcterms:modified xsi:type="dcterms:W3CDTF">2019-05-03T20:08:00Z</dcterms:modified>
</cp:coreProperties>
</file>